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B8" w:rsidRPr="00282959" w:rsidRDefault="00CA5812" w:rsidP="0028295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Outcome Summary </w:t>
      </w:r>
      <w:r w:rsidR="002F323C">
        <w:rPr>
          <w:b/>
          <w:sz w:val="36"/>
          <w:szCs w:val="36"/>
        </w:rPr>
        <w:t>Report</w:t>
      </w:r>
      <w:r>
        <w:rPr>
          <w:b/>
          <w:sz w:val="36"/>
          <w:szCs w:val="36"/>
        </w:rPr>
        <w:t>: Graduate MBA</w:t>
      </w:r>
    </w:p>
    <w:p w:rsidR="00282959" w:rsidRDefault="003D2492" w:rsidP="00971416">
      <w:pPr>
        <w:spacing w:after="0"/>
        <w:jc w:val="center"/>
        <w:rPr>
          <w:i/>
        </w:rPr>
      </w:pPr>
      <w:r w:rsidRPr="00282959">
        <w:rPr>
          <w:i/>
        </w:rPr>
        <w:t>College of Business – Oral Roberts University</w:t>
      </w:r>
    </w:p>
    <w:p w:rsidR="00F02118" w:rsidRDefault="00F02118" w:rsidP="00282959">
      <w:pPr>
        <w:spacing w:after="0"/>
        <w:rPr>
          <w:b/>
        </w:rPr>
      </w:pPr>
    </w:p>
    <w:p w:rsidR="00971416" w:rsidRPr="00971416" w:rsidRDefault="00F02118" w:rsidP="00282959">
      <w:pPr>
        <w:spacing w:after="0"/>
        <w:rPr>
          <w:b/>
        </w:rPr>
      </w:pPr>
      <w:r>
        <w:rPr>
          <w:b/>
        </w:rPr>
        <w:t>P</w:t>
      </w:r>
      <w:r w:rsidR="003D2492" w:rsidRPr="003E4C06">
        <w:rPr>
          <w:b/>
        </w:rPr>
        <w:t>repared By:</w:t>
      </w:r>
      <w:r w:rsidR="004515E3">
        <w:rPr>
          <w:b/>
        </w:rPr>
        <w:t xml:space="preserve"> </w:t>
      </w:r>
      <w:r w:rsidR="004515E3" w:rsidRPr="004515E3">
        <w:t>Trevor Ellis</w:t>
      </w:r>
      <w:r w:rsidR="00282959" w:rsidRPr="003E4C06">
        <w:rPr>
          <w:b/>
        </w:rPr>
        <w:tab/>
      </w:r>
      <w:r w:rsidR="00282959" w:rsidRPr="003E4C06">
        <w:rPr>
          <w:b/>
        </w:rPr>
        <w:tab/>
      </w:r>
      <w:r w:rsidR="00282959" w:rsidRPr="003E4C06">
        <w:rPr>
          <w:b/>
        </w:rPr>
        <w:tab/>
      </w:r>
      <w:r w:rsidR="00282959" w:rsidRPr="003E4C06">
        <w:rPr>
          <w:b/>
        </w:rPr>
        <w:tab/>
      </w:r>
    </w:p>
    <w:p w:rsidR="00282959" w:rsidRDefault="003D2492" w:rsidP="00282959">
      <w:pPr>
        <w:spacing w:after="0"/>
      </w:pPr>
      <w:r w:rsidRPr="003E4C06">
        <w:rPr>
          <w:b/>
        </w:rPr>
        <w:t>Date:</w:t>
      </w:r>
      <w:r w:rsidR="004F3C4D">
        <w:rPr>
          <w:b/>
        </w:rPr>
        <w:t xml:space="preserve"> </w:t>
      </w:r>
      <w:r w:rsidR="00CA67DD">
        <w:t>Dec. 13</w:t>
      </w:r>
      <w:r w:rsidR="004F3C4D" w:rsidRPr="004F3C4D">
        <w:t>, 2016</w:t>
      </w:r>
    </w:p>
    <w:p w:rsidR="002F323C" w:rsidRDefault="00282959" w:rsidP="00282959">
      <w:pPr>
        <w:spacing w:after="0"/>
        <w:rPr>
          <w:b/>
        </w:rPr>
      </w:pPr>
      <w:r w:rsidRPr="003E4C06">
        <w:rPr>
          <w:b/>
        </w:rPr>
        <w:t>Program:</w:t>
      </w:r>
      <w:r w:rsidR="004F3C4D">
        <w:rPr>
          <w:b/>
        </w:rPr>
        <w:t xml:space="preserve"> </w:t>
      </w:r>
      <w:r w:rsidR="004F3C4D" w:rsidRPr="004F3C4D">
        <w:t>MBA</w:t>
      </w:r>
      <w:r w:rsidR="00FC0D30">
        <w:t xml:space="preserve"> </w:t>
      </w:r>
    </w:p>
    <w:p w:rsidR="002F323C" w:rsidRPr="003E4C06" w:rsidRDefault="00F94BE7" w:rsidP="00282959">
      <w:pPr>
        <w:spacing w:after="0"/>
      </w:pPr>
      <w:r>
        <w:rPr>
          <w:b/>
        </w:rPr>
        <w:t>Term</w:t>
      </w:r>
      <w:r w:rsidR="00DD3B09">
        <w:rPr>
          <w:b/>
        </w:rPr>
        <w:t>/Year</w:t>
      </w:r>
      <w:r w:rsidR="002F323C">
        <w:rPr>
          <w:b/>
        </w:rPr>
        <w:t>:</w:t>
      </w:r>
      <w:r w:rsidR="004F3C4D">
        <w:rPr>
          <w:b/>
        </w:rPr>
        <w:t xml:space="preserve"> </w:t>
      </w:r>
      <w:r w:rsidR="00CA5812">
        <w:t>AY 15-16</w:t>
      </w:r>
    </w:p>
    <w:p w:rsidR="00282959" w:rsidRDefault="000D5D39" w:rsidP="00282959">
      <w:pPr>
        <w:spacing w:after="0"/>
      </w:pPr>
      <w:r w:rsidRPr="000D5D39">
        <w:rPr>
          <w:b/>
        </w:rPr>
        <w:t>Type of Learning Outcome (make bold):</w:t>
      </w:r>
      <w:r>
        <w:tab/>
      </w:r>
      <w:r>
        <w:tab/>
      </w:r>
      <w:r w:rsidRPr="00D27DD2">
        <w:rPr>
          <w:b/>
          <w:u w:val="single"/>
        </w:rPr>
        <w:t>Direct</w:t>
      </w:r>
      <w:r w:rsidRPr="00D27DD2">
        <w:tab/>
      </w:r>
      <w:r>
        <w:tab/>
        <w:t>Indirect</w:t>
      </w:r>
    </w:p>
    <w:p w:rsidR="009E493C" w:rsidRDefault="009E493C" w:rsidP="00282959">
      <w:pPr>
        <w:spacing w:after="0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870"/>
        <w:gridCol w:w="355"/>
        <w:gridCol w:w="1240"/>
        <w:gridCol w:w="1190"/>
      </w:tblGrid>
      <w:tr w:rsidR="00282959" w:rsidRPr="00282959" w:rsidTr="004A173E">
        <w:tc>
          <w:tcPr>
            <w:tcW w:w="10070" w:type="dxa"/>
            <w:gridSpan w:val="5"/>
            <w:shd w:val="clear" w:color="auto" w:fill="000000" w:themeFill="text1"/>
          </w:tcPr>
          <w:p w:rsidR="003E4C06" w:rsidRPr="00971416" w:rsidRDefault="003E4C06" w:rsidP="003E4C06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</w:p>
          <w:p w:rsidR="00282959" w:rsidRPr="003E4C06" w:rsidRDefault="00282959" w:rsidP="003E4C06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3E4C06">
              <w:rPr>
                <w:b/>
                <w:color w:val="FFFFFF" w:themeColor="background1"/>
                <w:sz w:val="32"/>
                <w:szCs w:val="32"/>
              </w:rPr>
              <w:t>Student Learning Outcomes</w:t>
            </w:r>
          </w:p>
          <w:p w:rsidR="003E4C06" w:rsidRPr="00971416" w:rsidRDefault="003E4C06" w:rsidP="00971416">
            <w:pPr>
              <w:rPr>
                <w:b/>
                <w:sz w:val="10"/>
                <w:szCs w:val="10"/>
              </w:rPr>
            </w:pPr>
          </w:p>
        </w:tc>
      </w:tr>
      <w:tr w:rsidR="00282959" w:rsidRPr="003E4C06" w:rsidTr="00F02118">
        <w:tc>
          <w:tcPr>
            <w:tcW w:w="3415" w:type="dxa"/>
            <w:shd w:val="clear" w:color="auto" w:fill="BFBFBF" w:themeFill="background1" w:themeFillShade="BF"/>
          </w:tcPr>
          <w:p w:rsidR="00282959" w:rsidRPr="003E4C06" w:rsidRDefault="00282959" w:rsidP="003E4C06">
            <w:pPr>
              <w:jc w:val="center"/>
              <w:rPr>
                <w:b/>
              </w:rPr>
            </w:pPr>
            <w:r w:rsidRPr="003E4C06">
              <w:rPr>
                <w:b/>
              </w:rPr>
              <w:t>Outcome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282959" w:rsidRPr="003E4C06" w:rsidRDefault="00282959" w:rsidP="003E4C06">
            <w:pPr>
              <w:jc w:val="center"/>
              <w:rPr>
                <w:b/>
              </w:rPr>
            </w:pPr>
            <w:r w:rsidRPr="003E4C06">
              <w:rPr>
                <w:b/>
              </w:rPr>
              <w:t>Assessment Method</w:t>
            </w:r>
            <w:r w:rsidR="003E4C06">
              <w:rPr>
                <w:b/>
              </w:rPr>
              <w:t>(s)</w:t>
            </w:r>
          </w:p>
        </w:tc>
        <w:tc>
          <w:tcPr>
            <w:tcW w:w="2785" w:type="dxa"/>
            <w:gridSpan w:val="3"/>
            <w:shd w:val="clear" w:color="auto" w:fill="BFBFBF" w:themeFill="background1" w:themeFillShade="BF"/>
          </w:tcPr>
          <w:p w:rsidR="00282959" w:rsidRPr="003E4C06" w:rsidRDefault="00282959" w:rsidP="003E4C06">
            <w:pPr>
              <w:jc w:val="center"/>
              <w:rPr>
                <w:b/>
              </w:rPr>
            </w:pPr>
            <w:r w:rsidRPr="003E4C06">
              <w:rPr>
                <w:b/>
              </w:rPr>
              <w:t>Success Performance Criteria</w:t>
            </w:r>
          </w:p>
        </w:tc>
      </w:tr>
      <w:tr w:rsidR="006C7E75" w:rsidRPr="00282959" w:rsidTr="00F02118">
        <w:trPr>
          <w:trHeight w:val="733"/>
        </w:trPr>
        <w:tc>
          <w:tcPr>
            <w:tcW w:w="3415" w:type="dxa"/>
          </w:tcPr>
          <w:p w:rsidR="00C7769D" w:rsidRPr="009E493C" w:rsidRDefault="00CA5812" w:rsidP="00FC0D30">
            <w:pPr>
              <w:pStyle w:val="ListParagraph"/>
              <w:numPr>
                <w:ilvl w:val="0"/>
                <w:numId w:val="2"/>
              </w:numPr>
              <w:ind w:left="240" w:hanging="270"/>
              <w:rPr>
                <w:b/>
              </w:rPr>
            </w:pPr>
            <w:r>
              <w:rPr>
                <w:b/>
              </w:rPr>
              <w:t xml:space="preserve">Oral Communication </w:t>
            </w:r>
            <w:r w:rsidR="00205CA6" w:rsidRPr="009E493C">
              <w:t xml:space="preserve">Demonstrate competencies in verbal skills using the latest technology when appropriate. </w:t>
            </w:r>
          </w:p>
        </w:tc>
        <w:tc>
          <w:tcPr>
            <w:tcW w:w="3870" w:type="dxa"/>
          </w:tcPr>
          <w:p w:rsidR="00C7769D" w:rsidRPr="009E493C" w:rsidRDefault="00FC0D30" w:rsidP="00CA67DD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 w:rsidRPr="009E493C">
              <w:t>GBUS 574 Presentation Oral Communication (AACU) Rubric</w:t>
            </w:r>
          </w:p>
          <w:p w:rsidR="00C7769D" w:rsidRPr="009E493C" w:rsidRDefault="00C7769D" w:rsidP="00CA67DD">
            <w:pPr>
              <w:ind w:left="155" w:hanging="197"/>
              <w:rPr>
                <w:i/>
              </w:rPr>
            </w:pPr>
          </w:p>
        </w:tc>
        <w:tc>
          <w:tcPr>
            <w:tcW w:w="2785" w:type="dxa"/>
            <w:gridSpan w:val="3"/>
          </w:tcPr>
          <w:p w:rsidR="00C7769D" w:rsidRPr="00CA67DD" w:rsidRDefault="001830A9" w:rsidP="00282959">
            <w:r w:rsidRPr="00CA67DD">
              <w:t>70% of students achieve a mean of 3.0 or above</w:t>
            </w:r>
          </w:p>
        </w:tc>
      </w:tr>
      <w:tr w:rsidR="00FC0D30" w:rsidRPr="00282959" w:rsidTr="009E493C">
        <w:trPr>
          <w:trHeight w:val="161"/>
        </w:trPr>
        <w:tc>
          <w:tcPr>
            <w:tcW w:w="3415" w:type="dxa"/>
            <w:vMerge w:val="restart"/>
          </w:tcPr>
          <w:p w:rsidR="00FC0D30" w:rsidRPr="009E493C" w:rsidRDefault="00CA5812" w:rsidP="00FC0D30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rPr>
                <w:b/>
              </w:rPr>
              <w:t xml:space="preserve">Written Communication </w:t>
            </w:r>
            <w:r w:rsidR="00FC0D30" w:rsidRPr="009E493C">
              <w:t>Demonstrate competencies in writing using the latest technology when appropriate</w:t>
            </w:r>
            <w:r w:rsidR="00205CA6" w:rsidRPr="009E493C">
              <w:t>.</w:t>
            </w:r>
            <w:r w:rsidR="00FC0D30" w:rsidRPr="009E493C">
              <w:t xml:space="preserve"> </w:t>
            </w:r>
          </w:p>
        </w:tc>
        <w:tc>
          <w:tcPr>
            <w:tcW w:w="3870" w:type="dxa"/>
          </w:tcPr>
          <w:p w:rsidR="00FC0D30" w:rsidRPr="009E493C" w:rsidRDefault="00763D93" w:rsidP="00CA67DD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>
              <w:t>GMGT</w:t>
            </w:r>
            <w:r w:rsidR="00FC0D30" w:rsidRPr="009E493C">
              <w:t xml:space="preserve"> 585: Communication Skills</w:t>
            </w:r>
          </w:p>
        </w:tc>
        <w:tc>
          <w:tcPr>
            <w:tcW w:w="2785" w:type="dxa"/>
            <w:gridSpan w:val="3"/>
          </w:tcPr>
          <w:p w:rsidR="00FC0D30" w:rsidRPr="00CA67DD" w:rsidRDefault="00FC0D30" w:rsidP="001830A9">
            <w:r w:rsidRPr="00CA67DD">
              <w:t>70% of students achieve a mean of 3.</w:t>
            </w:r>
            <w:r w:rsidR="001830A9" w:rsidRPr="00CA67DD">
              <w:t>0 or above</w:t>
            </w:r>
          </w:p>
        </w:tc>
      </w:tr>
      <w:tr w:rsidR="00FC0D30" w:rsidRPr="00282959" w:rsidTr="00F02118">
        <w:trPr>
          <w:trHeight w:val="540"/>
        </w:trPr>
        <w:tc>
          <w:tcPr>
            <w:tcW w:w="3415" w:type="dxa"/>
            <w:vMerge/>
          </w:tcPr>
          <w:p w:rsidR="00FC0D30" w:rsidRPr="009E493C" w:rsidRDefault="00FC0D30" w:rsidP="00FC0D30">
            <w:pPr>
              <w:pStyle w:val="ListParagraph"/>
              <w:numPr>
                <w:ilvl w:val="0"/>
                <w:numId w:val="2"/>
              </w:numPr>
              <w:ind w:left="240" w:hanging="270"/>
            </w:pPr>
          </w:p>
        </w:tc>
        <w:tc>
          <w:tcPr>
            <w:tcW w:w="3870" w:type="dxa"/>
          </w:tcPr>
          <w:p w:rsidR="00FC0D30" w:rsidRPr="009E493C" w:rsidRDefault="00FC0D30" w:rsidP="00CA67DD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 w:rsidRPr="009E493C">
              <w:t>GMGT 561 Report – Written Communication (AACU) Rubric</w:t>
            </w:r>
          </w:p>
        </w:tc>
        <w:tc>
          <w:tcPr>
            <w:tcW w:w="2785" w:type="dxa"/>
            <w:gridSpan w:val="3"/>
          </w:tcPr>
          <w:p w:rsidR="00FC0D30" w:rsidRPr="00CA67DD" w:rsidRDefault="006A6CB2" w:rsidP="00282959">
            <w:pPr>
              <w:rPr>
                <w:highlight w:val="red"/>
              </w:rPr>
            </w:pPr>
            <w:r w:rsidRPr="00CA67DD">
              <w:t>70% of students achieve a mean of 3.0 or above</w:t>
            </w:r>
          </w:p>
        </w:tc>
      </w:tr>
      <w:tr w:rsidR="00FC0D30" w:rsidRPr="00282959" w:rsidTr="009E493C">
        <w:trPr>
          <w:trHeight w:val="503"/>
        </w:trPr>
        <w:tc>
          <w:tcPr>
            <w:tcW w:w="3415" w:type="dxa"/>
          </w:tcPr>
          <w:p w:rsidR="00FC0D30" w:rsidRPr="009E493C" w:rsidRDefault="00CA5812" w:rsidP="001C70F5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rPr>
                <w:b/>
              </w:rPr>
              <w:t>Business Knowledge and Application</w:t>
            </w:r>
            <w:r>
              <w:rPr>
                <w:b/>
              </w:rPr>
              <w:br/>
            </w:r>
            <w:r w:rsidR="00205CA6" w:rsidRPr="009E493C">
              <w:t xml:space="preserve">Demonstrate in relevant business knowledge and theory with proficiencies in academic majors. </w:t>
            </w:r>
          </w:p>
        </w:tc>
        <w:tc>
          <w:tcPr>
            <w:tcW w:w="3870" w:type="dxa"/>
          </w:tcPr>
          <w:p w:rsidR="00FC0D30" w:rsidRPr="009E493C" w:rsidRDefault="00BD7CB1" w:rsidP="00BD7CB1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>
              <w:t xml:space="preserve">Major </w:t>
            </w:r>
            <w:r w:rsidR="00FC0D30" w:rsidRPr="009E493C">
              <w:t>Field Test</w:t>
            </w:r>
            <w:r w:rsidR="00162556">
              <w:t xml:space="preserve"> </w:t>
            </w:r>
          </w:p>
        </w:tc>
        <w:tc>
          <w:tcPr>
            <w:tcW w:w="2785" w:type="dxa"/>
            <w:gridSpan w:val="3"/>
          </w:tcPr>
          <w:p w:rsidR="00FC0D30" w:rsidRPr="00CA67DD" w:rsidRDefault="00BD7CB1" w:rsidP="00282959">
            <w:r>
              <w:t>65</w:t>
            </w:r>
            <w:r w:rsidRPr="00BD7CB1">
              <w:rPr>
                <w:vertAlign w:val="superscript"/>
              </w:rPr>
              <w:t>th</w:t>
            </w:r>
            <w:r>
              <w:t xml:space="preserve"> percentile for any given year and a 70</w:t>
            </w:r>
            <w:r w:rsidRPr="00BD7CB1">
              <w:rPr>
                <w:vertAlign w:val="superscript"/>
              </w:rPr>
              <w:t>th</w:t>
            </w:r>
            <w:r>
              <w:t xml:space="preserve"> percentile average over a 10 year  rolling time period</w:t>
            </w:r>
          </w:p>
        </w:tc>
      </w:tr>
      <w:tr w:rsidR="00FC0D30" w:rsidRPr="00282959" w:rsidTr="009E493C">
        <w:trPr>
          <w:trHeight w:val="106"/>
        </w:trPr>
        <w:tc>
          <w:tcPr>
            <w:tcW w:w="3415" w:type="dxa"/>
          </w:tcPr>
          <w:p w:rsidR="00FC0D30" w:rsidRPr="009E493C" w:rsidRDefault="00CA5812" w:rsidP="00FC0D30">
            <w:pPr>
              <w:pStyle w:val="ListParagraph"/>
              <w:numPr>
                <w:ilvl w:val="0"/>
                <w:numId w:val="2"/>
              </w:numPr>
              <w:ind w:left="240" w:hanging="270"/>
            </w:pPr>
            <w:r>
              <w:rPr>
                <w:b/>
              </w:rPr>
              <w:t xml:space="preserve">Critical Thinking </w:t>
            </w:r>
            <w:r>
              <w:rPr>
                <w:b/>
              </w:rPr>
              <w:br/>
            </w:r>
            <w:r w:rsidR="00FC0D30" w:rsidRPr="009E493C">
              <w:t>Integrate and apply in-depth business knowledge when analyzing and synthesizing multiple perspectives in business strategy formulation</w:t>
            </w:r>
            <w:r w:rsidR="00205CA6" w:rsidRPr="009E493C">
              <w:t>.</w:t>
            </w:r>
            <w:r w:rsidR="00FC0D30" w:rsidRPr="009E493C">
              <w:t xml:space="preserve"> </w:t>
            </w:r>
          </w:p>
        </w:tc>
        <w:tc>
          <w:tcPr>
            <w:tcW w:w="3870" w:type="dxa"/>
          </w:tcPr>
          <w:p w:rsidR="00FC0D30" w:rsidRPr="009E493C" w:rsidRDefault="00FC0D30" w:rsidP="006057B4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 w:rsidRPr="009E493C">
              <w:t>G</w:t>
            </w:r>
            <w:r w:rsidR="00763D93">
              <w:t xml:space="preserve">MGT </w:t>
            </w:r>
            <w:r w:rsidRPr="009E493C">
              <w:t>585: Problem Solving/Critical Analysis: Summary</w:t>
            </w:r>
            <w:r w:rsidR="004515E3">
              <w:t>, Critical Assessment and Value Statement</w:t>
            </w:r>
            <w:r w:rsidRPr="009E493C">
              <w:t xml:space="preserve"> Section</w:t>
            </w:r>
          </w:p>
        </w:tc>
        <w:tc>
          <w:tcPr>
            <w:tcW w:w="2785" w:type="dxa"/>
            <w:gridSpan w:val="3"/>
          </w:tcPr>
          <w:p w:rsidR="00FC0D30" w:rsidRPr="00CA67DD" w:rsidRDefault="00094227" w:rsidP="00282959">
            <w:r w:rsidRPr="00CA67DD">
              <w:t>70% of students achieve a mean of 3.0 or above</w:t>
            </w:r>
          </w:p>
        </w:tc>
      </w:tr>
      <w:tr w:rsidR="00BF402B" w:rsidRPr="003E4C06" w:rsidTr="009E493C">
        <w:trPr>
          <w:trHeight w:val="106"/>
        </w:trPr>
        <w:tc>
          <w:tcPr>
            <w:tcW w:w="3415" w:type="dxa"/>
            <w:vMerge w:val="restart"/>
          </w:tcPr>
          <w:p w:rsidR="00BF402B" w:rsidRPr="009E493C" w:rsidRDefault="00CA5812" w:rsidP="00CA5812">
            <w:pPr>
              <w:ind w:left="240" w:hanging="240"/>
            </w:pPr>
            <w:r>
              <w:t xml:space="preserve">5. </w:t>
            </w:r>
            <w:r w:rsidR="00BF402B" w:rsidRPr="009E493C">
              <w:t xml:space="preserve"> </w:t>
            </w:r>
            <w:r>
              <w:rPr>
                <w:b/>
              </w:rPr>
              <w:t xml:space="preserve">Information Literacy </w:t>
            </w:r>
            <w:r>
              <w:rPr>
                <w:b/>
              </w:rPr>
              <w:br/>
            </w:r>
            <w:r w:rsidR="00BF402B" w:rsidRPr="009E493C">
              <w:t>Identify, retrieve, and evaluate the use of data sources in a business environment</w:t>
            </w:r>
            <w:r w:rsidR="00205CA6" w:rsidRPr="009E493C">
              <w:t>.</w:t>
            </w:r>
            <w:r w:rsidR="00BF402B" w:rsidRPr="009E493C">
              <w:t xml:space="preserve"> </w:t>
            </w:r>
          </w:p>
          <w:p w:rsidR="00BF402B" w:rsidRPr="009E493C" w:rsidRDefault="00BF402B" w:rsidP="009E493C">
            <w:pPr>
              <w:ind w:left="240" w:hanging="240"/>
            </w:pPr>
          </w:p>
          <w:p w:rsidR="00BF402B" w:rsidRPr="009E493C" w:rsidRDefault="00BF402B" w:rsidP="009E493C">
            <w:pPr>
              <w:ind w:left="240" w:hanging="240"/>
              <w:rPr>
                <w:i/>
              </w:rPr>
            </w:pPr>
          </w:p>
        </w:tc>
        <w:tc>
          <w:tcPr>
            <w:tcW w:w="3870" w:type="dxa"/>
          </w:tcPr>
          <w:p w:rsidR="00BF402B" w:rsidRPr="009E493C" w:rsidRDefault="006057B4" w:rsidP="00763D93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>
              <w:t>G</w:t>
            </w:r>
            <w:r w:rsidR="00763D93">
              <w:t>MGT</w:t>
            </w:r>
            <w:r w:rsidR="00BF402B" w:rsidRPr="009E493C">
              <w:t xml:space="preserve"> 585: Research Skills</w:t>
            </w:r>
          </w:p>
        </w:tc>
        <w:tc>
          <w:tcPr>
            <w:tcW w:w="2785" w:type="dxa"/>
            <w:gridSpan w:val="3"/>
          </w:tcPr>
          <w:p w:rsidR="00BF402B" w:rsidRPr="00CA67DD" w:rsidRDefault="00094227" w:rsidP="002016E0">
            <w:r w:rsidRPr="00CA67DD">
              <w:t>70% of students achieve a mean of 3.0 or above</w:t>
            </w:r>
          </w:p>
        </w:tc>
      </w:tr>
      <w:tr w:rsidR="00BF402B" w:rsidRPr="003E4C06" w:rsidTr="009E493C">
        <w:trPr>
          <w:trHeight w:val="296"/>
        </w:trPr>
        <w:tc>
          <w:tcPr>
            <w:tcW w:w="3415" w:type="dxa"/>
            <w:vMerge/>
          </w:tcPr>
          <w:p w:rsidR="00BF402B" w:rsidRPr="009E493C" w:rsidRDefault="00BF402B" w:rsidP="009E493C">
            <w:pPr>
              <w:ind w:left="240" w:hanging="240"/>
            </w:pPr>
          </w:p>
        </w:tc>
        <w:tc>
          <w:tcPr>
            <w:tcW w:w="3870" w:type="dxa"/>
          </w:tcPr>
          <w:p w:rsidR="00BF402B" w:rsidRPr="009E493C" w:rsidRDefault="00BF402B" w:rsidP="00CA67DD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 w:rsidRPr="009E493C">
              <w:t>GBUS 574 Final Exam – Information Literacy (AACU) Rubric</w:t>
            </w:r>
          </w:p>
        </w:tc>
        <w:tc>
          <w:tcPr>
            <w:tcW w:w="2785" w:type="dxa"/>
            <w:gridSpan w:val="3"/>
          </w:tcPr>
          <w:p w:rsidR="00BF402B" w:rsidRPr="00CA67DD" w:rsidRDefault="006A6CB2" w:rsidP="002016E0">
            <w:r w:rsidRPr="00CA67DD">
              <w:t>70% of students achieve a mean of 3.0 or above</w:t>
            </w:r>
          </w:p>
        </w:tc>
      </w:tr>
      <w:tr w:rsidR="00BF402B" w:rsidRPr="003E4C06" w:rsidTr="009E493C">
        <w:trPr>
          <w:trHeight w:val="395"/>
        </w:trPr>
        <w:tc>
          <w:tcPr>
            <w:tcW w:w="3415" w:type="dxa"/>
            <w:vMerge/>
          </w:tcPr>
          <w:p w:rsidR="00BF402B" w:rsidRPr="009E493C" w:rsidRDefault="00BF402B" w:rsidP="009E493C">
            <w:pPr>
              <w:ind w:left="240" w:hanging="240"/>
            </w:pPr>
          </w:p>
        </w:tc>
        <w:tc>
          <w:tcPr>
            <w:tcW w:w="3870" w:type="dxa"/>
          </w:tcPr>
          <w:p w:rsidR="00BF402B" w:rsidRPr="009E493C" w:rsidRDefault="00BF402B" w:rsidP="00CA67DD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 w:rsidRPr="009E493C">
              <w:t>GMGT 561 Report – Information Literacy (AACU) Rubric</w:t>
            </w:r>
          </w:p>
        </w:tc>
        <w:tc>
          <w:tcPr>
            <w:tcW w:w="2785" w:type="dxa"/>
            <w:gridSpan w:val="3"/>
          </w:tcPr>
          <w:p w:rsidR="00BF402B" w:rsidRPr="00CA67DD" w:rsidRDefault="006A6CB2" w:rsidP="002016E0">
            <w:pPr>
              <w:rPr>
                <w:highlight w:val="red"/>
              </w:rPr>
            </w:pPr>
            <w:r w:rsidRPr="00CA67DD">
              <w:t>70% of students achieve a mean of 3.0 or above</w:t>
            </w:r>
          </w:p>
        </w:tc>
      </w:tr>
      <w:tr w:rsidR="00FC0D30" w:rsidRPr="003E4C06" w:rsidTr="00F02118">
        <w:trPr>
          <w:trHeight w:val="733"/>
        </w:trPr>
        <w:tc>
          <w:tcPr>
            <w:tcW w:w="3415" w:type="dxa"/>
          </w:tcPr>
          <w:p w:rsidR="009E493C" w:rsidRDefault="00CA5812" w:rsidP="009E493C">
            <w:pPr>
              <w:ind w:left="240" w:hanging="240"/>
            </w:pPr>
            <w:r>
              <w:t xml:space="preserve">6. </w:t>
            </w:r>
            <w:r w:rsidR="00FC0D30" w:rsidRPr="009E493C">
              <w:t xml:space="preserve"> </w:t>
            </w:r>
            <w:r>
              <w:rPr>
                <w:b/>
              </w:rPr>
              <w:t>Global Perspectives</w:t>
            </w:r>
            <w:r>
              <w:rPr>
                <w:b/>
              </w:rPr>
              <w:br/>
            </w:r>
            <w:r w:rsidR="00205CA6" w:rsidRPr="009E493C">
              <w:t>D</w:t>
            </w:r>
            <w:r w:rsidR="009E493C" w:rsidRPr="009E493C">
              <w:t xml:space="preserve">emonstrate cultural sensitivity </w:t>
            </w:r>
            <w:r w:rsidR="00205CA6" w:rsidRPr="009E493C">
              <w:t>and respect for global perspectives and an ability to analyze market, economic, social and political trends in a global environment</w:t>
            </w:r>
          </w:p>
          <w:p w:rsidR="009E493C" w:rsidRDefault="009E493C" w:rsidP="009E493C">
            <w:pPr>
              <w:ind w:left="240" w:hanging="240"/>
            </w:pPr>
          </w:p>
          <w:p w:rsidR="006E089B" w:rsidRDefault="006E089B" w:rsidP="009E493C">
            <w:pPr>
              <w:ind w:left="240" w:hanging="240"/>
            </w:pPr>
          </w:p>
          <w:p w:rsidR="00162556" w:rsidRPr="009E493C" w:rsidRDefault="00162556" w:rsidP="009E493C">
            <w:pPr>
              <w:ind w:left="240" w:hanging="240"/>
            </w:pPr>
          </w:p>
        </w:tc>
        <w:tc>
          <w:tcPr>
            <w:tcW w:w="3870" w:type="dxa"/>
          </w:tcPr>
          <w:p w:rsidR="00FC0D30" w:rsidRPr="009E493C" w:rsidRDefault="00BF402B" w:rsidP="00CA67DD">
            <w:pPr>
              <w:pStyle w:val="ListParagraph"/>
              <w:numPr>
                <w:ilvl w:val="0"/>
                <w:numId w:val="6"/>
              </w:numPr>
              <w:ind w:left="155" w:hanging="197"/>
            </w:pPr>
            <w:r w:rsidRPr="009E493C">
              <w:t>GMGT 561 Report – Global Perspectives (AACU) Adapted Rubric</w:t>
            </w:r>
          </w:p>
        </w:tc>
        <w:tc>
          <w:tcPr>
            <w:tcW w:w="2785" w:type="dxa"/>
            <w:gridSpan w:val="3"/>
          </w:tcPr>
          <w:p w:rsidR="00FC0D30" w:rsidRPr="00CA67DD" w:rsidRDefault="006A6CB2" w:rsidP="002016E0">
            <w:pPr>
              <w:rPr>
                <w:highlight w:val="red"/>
              </w:rPr>
            </w:pPr>
            <w:r w:rsidRPr="00CA67DD">
              <w:t>70% of students achieve a mean of 3.0 or above</w:t>
            </w:r>
          </w:p>
        </w:tc>
      </w:tr>
      <w:tr w:rsidR="0021387B" w:rsidRPr="00282959" w:rsidTr="00DD3B09">
        <w:tc>
          <w:tcPr>
            <w:tcW w:w="7640" w:type="dxa"/>
            <w:gridSpan w:val="3"/>
            <w:vMerge w:val="restart"/>
            <w:shd w:val="clear" w:color="auto" w:fill="BFBFBF" w:themeFill="background1" w:themeFillShade="BF"/>
          </w:tcPr>
          <w:p w:rsidR="0021387B" w:rsidRDefault="0021387B" w:rsidP="00971416">
            <w:pPr>
              <w:rPr>
                <w:b/>
              </w:rPr>
            </w:pPr>
          </w:p>
          <w:p w:rsidR="0021387B" w:rsidRPr="00C7769D" w:rsidRDefault="0021387B" w:rsidP="003E4C06">
            <w:pPr>
              <w:jc w:val="center"/>
              <w:rPr>
                <w:b/>
                <w:sz w:val="28"/>
                <w:szCs w:val="28"/>
              </w:rPr>
            </w:pPr>
            <w:r w:rsidRPr="00C7769D">
              <w:rPr>
                <w:b/>
                <w:sz w:val="28"/>
                <w:szCs w:val="28"/>
              </w:rPr>
              <w:t xml:space="preserve">Summary of Results </w:t>
            </w:r>
            <w:r w:rsidR="00971416" w:rsidRPr="00C7769D">
              <w:rPr>
                <w:b/>
                <w:sz w:val="28"/>
                <w:szCs w:val="28"/>
              </w:rPr>
              <w:t>for Each Outcome</w:t>
            </w:r>
          </w:p>
          <w:p w:rsidR="0021387B" w:rsidRPr="003E4C06" w:rsidRDefault="0021387B" w:rsidP="003E4C06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2"/>
            <w:shd w:val="clear" w:color="auto" w:fill="BFBFBF" w:themeFill="background1" w:themeFillShade="BF"/>
          </w:tcPr>
          <w:p w:rsidR="0021387B" w:rsidRPr="00971416" w:rsidRDefault="0021387B" w:rsidP="003E4C06">
            <w:pPr>
              <w:jc w:val="center"/>
              <w:rPr>
                <w:b/>
              </w:rPr>
            </w:pPr>
            <w:r w:rsidRPr="00971416">
              <w:rPr>
                <w:b/>
              </w:rPr>
              <w:t>Success Performance Criteria</w:t>
            </w:r>
          </w:p>
        </w:tc>
      </w:tr>
      <w:tr w:rsidR="0021387B" w:rsidRPr="00282959" w:rsidTr="00DD3B09">
        <w:tc>
          <w:tcPr>
            <w:tcW w:w="7640" w:type="dxa"/>
            <w:gridSpan w:val="3"/>
            <w:vMerge/>
            <w:shd w:val="clear" w:color="auto" w:fill="BFBFBF" w:themeFill="background1" w:themeFillShade="BF"/>
          </w:tcPr>
          <w:p w:rsidR="0021387B" w:rsidRPr="003E4C06" w:rsidRDefault="0021387B" w:rsidP="003E4C06">
            <w:pPr>
              <w:jc w:val="center"/>
              <w:rPr>
                <w:b/>
              </w:rPr>
            </w:pPr>
          </w:p>
        </w:tc>
        <w:tc>
          <w:tcPr>
            <w:tcW w:w="1240" w:type="dxa"/>
            <w:shd w:val="clear" w:color="auto" w:fill="BFBFBF" w:themeFill="background1" w:themeFillShade="BF"/>
          </w:tcPr>
          <w:p w:rsidR="0021387B" w:rsidRPr="003E4C06" w:rsidRDefault="0021387B" w:rsidP="003E4C06">
            <w:pPr>
              <w:jc w:val="center"/>
              <w:rPr>
                <w:b/>
              </w:rPr>
            </w:pPr>
            <w:r w:rsidRPr="003E4C06">
              <w:rPr>
                <w:b/>
              </w:rPr>
              <w:t>Met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21387B" w:rsidRPr="003E4C06" w:rsidRDefault="0021387B" w:rsidP="003E4C06">
            <w:pPr>
              <w:jc w:val="center"/>
              <w:rPr>
                <w:b/>
              </w:rPr>
            </w:pPr>
            <w:r>
              <w:rPr>
                <w:b/>
              </w:rPr>
              <w:t>Not Met</w:t>
            </w:r>
          </w:p>
        </w:tc>
      </w:tr>
      <w:tr w:rsidR="00BF402B" w:rsidRPr="00282959" w:rsidTr="00BF402B">
        <w:trPr>
          <w:trHeight w:val="719"/>
        </w:trPr>
        <w:tc>
          <w:tcPr>
            <w:tcW w:w="7640" w:type="dxa"/>
            <w:gridSpan w:val="3"/>
          </w:tcPr>
          <w:p w:rsidR="00BF402B" w:rsidRPr="00BF402B" w:rsidRDefault="00CA5812" w:rsidP="001F5B2C">
            <w:pPr>
              <w:rPr>
                <w:b/>
                <w:sz w:val="24"/>
                <w:szCs w:val="24"/>
              </w:rPr>
            </w:pPr>
            <w:r w:rsidRPr="00CA5812">
              <w:rPr>
                <w:b/>
                <w:sz w:val="24"/>
                <w:szCs w:val="24"/>
              </w:rPr>
              <w:t>Oral Communication</w:t>
            </w:r>
            <w:r w:rsidR="001F5B2C">
              <w:rPr>
                <w:b/>
                <w:sz w:val="24"/>
                <w:szCs w:val="24"/>
              </w:rPr>
              <w:t xml:space="preserve">. </w:t>
            </w:r>
            <w:r w:rsidR="001F5B2C" w:rsidRPr="006057B4">
              <w:t>In GBUS 574 (Fall 2015) students scored an average mean of 2.95 on organization, 2.63 on language, 2.63 on delivery, 1.58 on supporting material and 3.00 on central message</w:t>
            </w:r>
            <w:r w:rsidR="00763D93">
              <w:t xml:space="preserve"> on the oral presentation</w:t>
            </w:r>
            <w:r w:rsidR="001F5B2C" w:rsidRPr="006057B4">
              <w:t>.</w:t>
            </w:r>
            <w:r w:rsidR="00763D93">
              <w:t xml:space="preserve"> 59% of students achieved a</w:t>
            </w:r>
            <w:r w:rsidR="00F04924">
              <w:t>n average of</w:t>
            </w:r>
            <w:r w:rsidR="00763D93">
              <w:t xml:space="preserve"> 3 or above on this assignment.</w:t>
            </w:r>
          </w:p>
        </w:tc>
        <w:tc>
          <w:tcPr>
            <w:tcW w:w="1240" w:type="dxa"/>
          </w:tcPr>
          <w:p w:rsidR="00BF402B" w:rsidRPr="001F5B2C" w:rsidRDefault="00BF402B" w:rsidP="001F5B2C">
            <w:pPr>
              <w:jc w:val="center"/>
              <w:rPr>
                <w:rFonts w:ascii="Wingdings" w:hAnsi="Wingdings"/>
                <w:sz w:val="72"/>
                <w:szCs w:val="72"/>
              </w:rPr>
            </w:pPr>
          </w:p>
        </w:tc>
        <w:tc>
          <w:tcPr>
            <w:tcW w:w="1190" w:type="dxa"/>
          </w:tcPr>
          <w:p w:rsidR="00BF402B" w:rsidRPr="00BF402B" w:rsidRDefault="001F5B2C" w:rsidP="001F5B2C">
            <w:pPr>
              <w:jc w:val="center"/>
              <w:rPr>
                <w:sz w:val="24"/>
                <w:szCs w:val="24"/>
              </w:rPr>
            </w:pPr>
            <w:r w:rsidRPr="001F5B2C">
              <w:rPr>
                <w:rFonts w:ascii="Wingdings" w:hAnsi="Wingdings"/>
                <w:sz w:val="72"/>
                <w:szCs w:val="72"/>
              </w:rPr>
              <w:t></w:t>
            </w:r>
          </w:p>
        </w:tc>
      </w:tr>
      <w:tr w:rsidR="00BF402B" w:rsidRPr="00282959" w:rsidTr="00BF402B">
        <w:trPr>
          <w:trHeight w:val="746"/>
        </w:trPr>
        <w:tc>
          <w:tcPr>
            <w:tcW w:w="7640" w:type="dxa"/>
            <w:gridSpan w:val="3"/>
          </w:tcPr>
          <w:p w:rsidR="00BF402B" w:rsidRPr="00BF402B" w:rsidRDefault="00CA5812" w:rsidP="006057B4">
            <w:pPr>
              <w:rPr>
                <w:b/>
                <w:sz w:val="24"/>
                <w:szCs w:val="24"/>
              </w:rPr>
            </w:pPr>
            <w:r w:rsidRPr="00CA5812">
              <w:rPr>
                <w:b/>
                <w:sz w:val="24"/>
                <w:szCs w:val="24"/>
              </w:rPr>
              <w:t>Written Communication</w:t>
            </w:r>
            <w:r w:rsidR="00BF402B" w:rsidRPr="00BF402B">
              <w:rPr>
                <w:b/>
                <w:sz w:val="24"/>
                <w:szCs w:val="24"/>
              </w:rPr>
              <w:t>.</w:t>
            </w:r>
            <w:r w:rsidR="006057B4">
              <w:rPr>
                <w:b/>
                <w:sz w:val="24"/>
                <w:szCs w:val="24"/>
              </w:rPr>
              <w:t xml:space="preserve"> </w:t>
            </w:r>
            <w:r w:rsidR="00763D93">
              <w:t>In GMGT</w:t>
            </w:r>
            <w:r w:rsidR="006057B4" w:rsidRPr="006057B4">
              <w:t xml:space="preserve"> 585 students</w:t>
            </w:r>
            <w:r w:rsidR="006057B4">
              <w:t>’</w:t>
            </w:r>
            <w:r w:rsidR="006057B4" w:rsidRPr="006057B4">
              <w:t xml:space="preserve"> mean score for communic</w:t>
            </w:r>
            <w:r w:rsidR="006057B4">
              <w:t>ation skills went up .31 or 10% from the last assessment period. Also, 85% of the students achieved level 3 or above, a 10% increase from the previous assessment period. In GMGT 561</w:t>
            </w:r>
            <w:r w:rsidR="00763D93">
              <w:t>, on the report assignment,</w:t>
            </w:r>
            <w:r w:rsidR="006057B4">
              <w:t xml:space="preserve"> the average mean score dropped .2 or 6% from the last assessment period and 82% of the students scored at level 3 or above, a 10% decrease from the last assessment period. </w:t>
            </w:r>
          </w:p>
        </w:tc>
        <w:tc>
          <w:tcPr>
            <w:tcW w:w="1240" w:type="dxa"/>
          </w:tcPr>
          <w:p w:rsidR="00BF402B" w:rsidRPr="00BF402B" w:rsidRDefault="001F5B2C" w:rsidP="001F5B2C">
            <w:pPr>
              <w:jc w:val="center"/>
              <w:rPr>
                <w:sz w:val="24"/>
                <w:szCs w:val="24"/>
              </w:rPr>
            </w:pPr>
            <w:r w:rsidRPr="001F5B2C">
              <w:rPr>
                <w:rFonts w:ascii="Wingdings" w:hAnsi="Wingdings"/>
                <w:sz w:val="72"/>
                <w:szCs w:val="72"/>
              </w:rPr>
              <w:t></w:t>
            </w:r>
          </w:p>
        </w:tc>
        <w:tc>
          <w:tcPr>
            <w:tcW w:w="1190" w:type="dxa"/>
          </w:tcPr>
          <w:p w:rsidR="00BF402B" w:rsidRPr="00BF402B" w:rsidRDefault="00BF402B" w:rsidP="001F5B2C">
            <w:pPr>
              <w:jc w:val="center"/>
              <w:rPr>
                <w:sz w:val="24"/>
                <w:szCs w:val="24"/>
              </w:rPr>
            </w:pPr>
          </w:p>
        </w:tc>
      </w:tr>
      <w:tr w:rsidR="00BF402B" w:rsidRPr="00282959" w:rsidTr="00BF402B">
        <w:trPr>
          <w:trHeight w:val="782"/>
        </w:trPr>
        <w:tc>
          <w:tcPr>
            <w:tcW w:w="7640" w:type="dxa"/>
            <w:gridSpan w:val="3"/>
          </w:tcPr>
          <w:p w:rsidR="00BF402B" w:rsidRPr="00BF402B" w:rsidRDefault="00E061B1" w:rsidP="002016E0">
            <w:pPr>
              <w:rPr>
                <w:b/>
                <w:sz w:val="24"/>
                <w:szCs w:val="24"/>
              </w:rPr>
            </w:pPr>
            <w:r w:rsidRPr="00E061B1">
              <w:rPr>
                <w:b/>
                <w:sz w:val="24"/>
                <w:szCs w:val="24"/>
              </w:rPr>
              <w:t>Business Knowledge and Application</w:t>
            </w:r>
            <w:r w:rsidR="00BF402B" w:rsidRPr="00BF402B">
              <w:rPr>
                <w:b/>
                <w:sz w:val="24"/>
                <w:szCs w:val="24"/>
              </w:rPr>
              <w:t>.</w:t>
            </w:r>
            <w:r w:rsidR="006057B4">
              <w:rPr>
                <w:b/>
                <w:sz w:val="24"/>
                <w:szCs w:val="24"/>
              </w:rPr>
              <w:t xml:space="preserve"> </w:t>
            </w:r>
            <w:r w:rsidR="000725DE">
              <w:t>The Major Field Test is used to assess this outcome</w:t>
            </w:r>
            <w:r w:rsidR="00DA16D4">
              <w:t xml:space="preserve"> at the mastery level</w:t>
            </w:r>
            <w:r w:rsidR="000725DE">
              <w:t>.  Please review separate report “</w:t>
            </w:r>
            <w:proofErr w:type="spellStart"/>
            <w:r w:rsidR="000725DE">
              <w:t>MFT.Grad</w:t>
            </w:r>
            <w:proofErr w:type="spellEnd"/>
            <w:r w:rsidR="000725DE">
              <w:t>” for results, actions for improvement, and results of previous actions for improvement.</w:t>
            </w:r>
          </w:p>
          <w:p w:rsidR="00BF402B" w:rsidRPr="00BF402B" w:rsidRDefault="00BF402B" w:rsidP="002016E0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BF402B" w:rsidRPr="00BF402B" w:rsidRDefault="00DA16D4" w:rsidP="001F5B2C">
            <w:pPr>
              <w:jc w:val="center"/>
              <w:rPr>
                <w:sz w:val="24"/>
                <w:szCs w:val="24"/>
              </w:rPr>
            </w:pPr>
            <w:r w:rsidRPr="001F5B2C">
              <w:rPr>
                <w:rFonts w:ascii="Wingdings" w:hAnsi="Wingdings"/>
                <w:sz w:val="72"/>
                <w:szCs w:val="72"/>
              </w:rPr>
              <w:t></w:t>
            </w:r>
          </w:p>
        </w:tc>
        <w:tc>
          <w:tcPr>
            <w:tcW w:w="1190" w:type="dxa"/>
          </w:tcPr>
          <w:p w:rsidR="00BF402B" w:rsidRPr="00BF402B" w:rsidRDefault="00BF402B" w:rsidP="001F5B2C">
            <w:pPr>
              <w:jc w:val="center"/>
              <w:rPr>
                <w:sz w:val="24"/>
                <w:szCs w:val="24"/>
              </w:rPr>
            </w:pPr>
          </w:p>
        </w:tc>
      </w:tr>
      <w:tr w:rsidR="00BF402B" w:rsidRPr="00282959" w:rsidTr="000712B5">
        <w:trPr>
          <w:trHeight w:val="413"/>
        </w:trPr>
        <w:tc>
          <w:tcPr>
            <w:tcW w:w="7640" w:type="dxa"/>
            <w:gridSpan w:val="3"/>
          </w:tcPr>
          <w:p w:rsidR="000712B5" w:rsidRPr="00BF402B" w:rsidRDefault="00E061B1" w:rsidP="002016E0">
            <w:pPr>
              <w:rPr>
                <w:b/>
                <w:sz w:val="24"/>
                <w:szCs w:val="24"/>
              </w:rPr>
            </w:pPr>
            <w:r w:rsidRPr="00E061B1">
              <w:rPr>
                <w:b/>
                <w:sz w:val="24"/>
                <w:szCs w:val="24"/>
              </w:rPr>
              <w:t>Critical Thinking</w:t>
            </w:r>
            <w:r w:rsidR="00BF402B">
              <w:rPr>
                <w:b/>
                <w:sz w:val="24"/>
                <w:szCs w:val="24"/>
              </w:rPr>
              <w:t>.</w:t>
            </w:r>
            <w:r w:rsidR="006057B4">
              <w:rPr>
                <w:b/>
                <w:sz w:val="24"/>
                <w:szCs w:val="24"/>
              </w:rPr>
              <w:t xml:space="preserve"> </w:t>
            </w:r>
            <w:r w:rsidR="00763D93">
              <w:t>In GMGT</w:t>
            </w:r>
            <w:r w:rsidR="006057B4" w:rsidRPr="00763D93">
              <w:t xml:space="preserve"> 585 the average mean score improved to 3.41, an increase of 7% over the last period</w:t>
            </w:r>
            <w:r w:rsidR="00354BB6">
              <w:t xml:space="preserve"> on the summary, critical assessment and value statement sections of the assessment</w:t>
            </w:r>
            <w:r w:rsidR="006057B4" w:rsidRPr="00763D93">
              <w:t xml:space="preserve">. </w:t>
            </w:r>
            <w:r w:rsidR="00354BB6">
              <w:t xml:space="preserve">85% of students </w:t>
            </w:r>
            <w:r w:rsidR="00763D93" w:rsidRPr="00763D93">
              <w:t>now score at 3 or above on average</w:t>
            </w:r>
            <w:r w:rsidR="00354BB6">
              <w:t xml:space="preserve">, </w:t>
            </w:r>
            <w:r w:rsidR="00354BB6" w:rsidRPr="00763D93">
              <w:t>an increase of 16% since</w:t>
            </w:r>
            <w:r w:rsidR="00354BB6">
              <w:t xml:space="preserve"> the last assessment period</w:t>
            </w:r>
            <w:r w:rsidR="00763D93" w:rsidRPr="00763D93">
              <w:t>.</w:t>
            </w:r>
            <w:r w:rsidR="00763D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BF402B" w:rsidRPr="00BF402B" w:rsidRDefault="001F5B2C" w:rsidP="001F5B2C">
            <w:pPr>
              <w:jc w:val="center"/>
              <w:rPr>
                <w:sz w:val="24"/>
                <w:szCs w:val="24"/>
              </w:rPr>
            </w:pPr>
            <w:r w:rsidRPr="001F5B2C">
              <w:rPr>
                <w:rFonts w:ascii="Wingdings" w:hAnsi="Wingdings"/>
                <w:sz w:val="72"/>
                <w:szCs w:val="72"/>
              </w:rPr>
              <w:t></w:t>
            </w:r>
          </w:p>
        </w:tc>
        <w:tc>
          <w:tcPr>
            <w:tcW w:w="1190" w:type="dxa"/>
          </w:tcPr>
          <w:p w:rsidR="00BF402B" w:rsidRPr="00BF402B" w:rsidRDefault="00BF402B" w:rsidP="001F5B2C">
            <w:pPr>
              <w:jc w:val="center"/>
              <w:rPr>
                <w:sz w:val="24"/>
                <w:szCs w:val="24"/>
              </w:rPr>
            </w:pPr>
          </w:p>
        </w:tc>
      </w:tr>
      <w:tr w:rsidR="00BF402B" w:rsidRPr="00282959" w:rsidTr="00BF402B">
        <w:trPr>
          <w:trHeight w:val="971"/>
        </w:trPr>
        <w:tc>
          <w:tcPr>
            <w:tcW w:w="7640" w:type="dxa"/>
            <w:gridSpan w:val="3"/>
          </w:tcPr>
          <w:p w:rsidR="000712B5" w:rsidRPr="00763D93" w:rsidRDefault="00E061B1" w:rsidP="00354BB6">
            <w:r w:rsidRPr="00E061B1">
              <w:rPr>
                <w:b/>
                <w:sz w:val="24"/>
                <w:szCs w:val="24"/>
              </w:rPr>
              <w:t>Information Literacy</w:t>
            </w:r>
            <w:r w:rsidR="00BF402B">
              <w:rPr>
                <w:b/>
                <w:sz w:val="24"/>
                <w:szCs w:val="24"/>
              </w:rPr>
              <w:t>.</w:t>
            </w:r>
            <w:r w:rsidR="00763D93">
              <w:t xml:space="preserve"> In GMGT 585</w:t>
            </w:r>
            <w:r w:rsidR="00354BB6">
              <w:t>, in “Research Skills”,</w:t>
            </w:r>
            <w:r w:rsidR="00763D93">
              <w:t xml:space="preserve"> the average mean is now at 4.0, an increase of .17 or 4%, over the last reporting period. 100% of students scored at 3 or</w:t>
            </w:r>
            <w:r w:rsidR="00354BB6">
              <w:t xml:space="preserve"> above. In GBUS 574 (Fall 2015), for the final exam, </w:t>
            </w:r>
            <w:r w:rsidR="00763D93">
              <w:t xml:space="preserve">the average mean is 2.71 and 76% of students scored at </w:t>
            </w:r>
            <w:r w:rsidR="00354BB6">
              <w:t>3 or above. In GMGT 561, on the report, there was an increase in</w:t>
            </w:r>
            <w:r w:rsidR="00763D93">
              <w:t xml:space="preserve"> the average mean of .54 or 19% </w:t>
            </w:r>
            <w:r w:rsidR="00354BB6">
              <w:t xml:space="preserve">to 3.43 </w:t>
            </w:r>
            <w:r w:rsidR="00763D93">
              <w:t xml:space="preserve">from the last assessment period. 88% of students scored at level 3 or above, a 14% increase from the last assessment period. </w:t>
            </w:r>
          </w:p>
        </w:tc>
        <w:tc>
          <w:tcPr>
            <w:tcW w:w="1240" w:type="dxa"/>
          </w:tcPr>
          <w:p w:rsidR="00BF402B" w:rsidRPr="00BF402B" w:rsidRDefault="001F5B2C" w:rsidP="001F5B2C">
            <w:pPr>
              <w:jc w:val="center"/>
              <w:rPr>
                <w:sz w:val="24"/>
                <w:szCs w:val="24"/>
              </w:rPr>
            </w:pPr>
            <w:r w:rsidRPr="001F5B2C">
              <w:rPr>
                <w:rFonts w:ascii="Wingdings" w:hAnsi="Wingdings"/>
                <w:sz w:val="72"/>
                <w:szCs w:val="72"/>
              </w:rPr>
              <w:t></w:t>
            </w:r>
          </w:p>
        </w:tc>
        <w:tc>
          <w:tcPr>
            <w:tcW w:w="1190" w:type="dxa"/>
          </w:tcPr>
          <w:p w:rsidR="00BF402B" w:rsidRPr="00BF402B" w:rsidRDefault="00BF402B" w:rsidP="001F5B2C">
            <w:pPr>
              <w:jc w:val="center"/>
              <w:rPr>
                <w:sz w:val="24"/>
                <w:szCs w:val="24"/>
              </w:rPr>
            </w:pPr>
          </w:p>
        </w:tc>
      </w:tr>
      <w:tr w:rsidR="00BF402B" w:rsidRPr="00282959" w:rsidTr="00BF402B">
        <w:trPr>
          <w:trHeight w:val="70"/>
        </w:trPr>
        <w:tc>
          <w:tcPr>
            <w:tcW w:w="7640" w:type="dxa"/>
            <w:gridSpan w:val="3"/>
          </w:tcPr>
          <w:p w:rsidR="000712B5" w:rsidRPr="00354BB6" w:rsidRDefault="00E061B1" w:rsidP="002016E0">
            <w:r w:rsidRPr="00E061B1">
              <w:rPr>
                <w:b/>
                <w:sz w:val="24"/>
                <w:szCs w:val="24"/>
              </w:rPr>
              <w:t>Global Perspectives</w:t>
            </w:r>
            <w:r w:rsidR="00BF402B">
              <w:rPr>
                <w:b/>
                <w:sz w:val="24"/>
                <w:szCs w:val="24"/>
              </w:rPr>
              <w:t>.</w:t>
            </w:r>
            <w:r w:rsidR="00354BB6">
              <w:rPr>
                <w:b/>
                <w:sz w:val="24"/>
                <w:szCs w:val="24"/>
              </w:rPr>
              <w:t xml:space="preserve"> </w:t>
            </w:r>
            <w:r w:rsidR="00354BB6">
              <w:t>In GBUS 561, the students’ average mean for the report improved by .37, or 12%, to 3.50 from the last assessment period. 100% of students are scoring at 3 or above, an improvement of 9% over the last assessment period.</w:t>
            </w:r>
          </w:p>
        </w:tc>
        <w:tc>
          <w:tcPr>
            <w:tcW w:w="1240" w:type="dxa"/>
          </w:tcPr>
          <w:p w:rsidR="00BF402B" w:rsidRPr="00BF402B" w:rsidRDefault="001F5B2C" w:rsidP="001F5B2C">
            <w:pPr>
              <w:jc w:val="center"/>
              <w:rPr>
                <w:sz w:val="24"/>
                <w:szCs w:val="24"/>
              </w:rPr>
            </w:pPr>
            <w:r w:rsidRPr="001F5B2C">
              <w:rPr>
                <w:rFonts w:ascii="Wingdings" w:hAnsi="Wingdings"/>
                <w:sz w:val="72"/>
                <w:szCs w:val="72"/>
              </w:rPr>
              <w:t></w:t>
            </w:r>
          </w:p>
        </w:tc>
        <w:tc>
          <w:tcPr>
            <w:tcW w:w="1190" w:type="dxa"/>
          </w:tcPr>
          <w:p w:rsidR="00BF402B" w:rsidRPr="00BF402B" w:rsidRDefault="00BF402B" w:rsidP="001F5B2C">
            <w:pPr>
              <w:jc w:val="center"/>
              <w:rPr>
                <w:sz w:val="24"/>
                <w:szCs w:val="24"/>
              </w:rPr>
            </w:pPr>
          </w:p>
        </w:tc>
      </w:tr>
      <w:tr w:rsidR="00656782" w:rsidRPr="00C7769D" w:rsidTr="002016E0">
        <w:tc>
          <w:tcPr>
            <w:tcW w:w="10070" w:type="dxa"/>
            <w:gridSpan w:val="5"/>
            <w:shd w:val="clear" w:color="auto" w:fill="BFBFBF" w:themeFill="background1" w:themeFillShade="BF"/>
          </w:tcPr>
          <w:p w:rsidR="00656782" w:rsidRPr="00C7769D" w:rsidRDefault="00656782" w:rsidP="002016E0">
            <w:pPr>
              <w:jc w:val="center"/>
              <w:rPr>
                <w:b/>
                <w:sz w:val="28"/>
                <w:szCs w:val="28"/>
              </w:rPr>
            </w:pPr>
            <w:r w:rsidRPr="00C7769D">
              <w:rPr>
                <w:b/>
                <w:sz w:val="28"/>
                <w:szCs w:val="28"/>
              </w:rPr>
              <w:t>Current Action for Improvement</w:t>
            </w:r>
          </w:p>
        </w:tc>
      </w:tr>
      <w:tr w:rsidR="00282959" w:rsidRPr="00282959" w:rsidTr="004A173E">
        <w:tc>
          <w:tcPr>
            <w:tcW w:w="10070" w:type="dxa"/>
            <w:gridSpan w:val="5"/>
          </w:tcPr>
          <w:p w:rsidR="00D95C8E" w:rsidRDefault="00D95C8E" w:rsidP="00282959">
            <w:r>
              <w:t xml:space="preserve">For the Oral Communication outcome criterion that was not met, faculty felt the criteria for success should be modified to reflect an introductory assessment.  Thus, faculty recommended that:  </w:t>
            </w:r>
            <w:r w:rsidR="00907632">
              <w:t>Criteria for success be modified to reflect different skill level proficiencies:  Mastery Level =&gt; 80%, Developm</w:t>
            </w:r>
            <w:r w:rsidR="00E26156">
              <w:t xml:space="preserve">ent =&gt; 70%, Introductory =&gt; 60%;   </w:t>
            </w:r>
          </w:p>
          <w:p w:rsidR="00D95C8E" w:rsidRDefault="00D95C8E" w:rsidP="00282959"/>
          <w:p w:rsidR="00C7769D" w:rsidRDefault="00D95C8E" w:rsidP="00282959">
            <w:r>
              <w:t>Though all other outcome criteria were met, for continuous improvement, f</w:t>
            </w:r>
            <w:r w:rsidR="00462685">
              <w:t>aculty recommended that</w:t>
            </w:r>
            <w:r>
              <w:t>: 1</w:t>
            </w:r>
            <w:r w:rsidR="00E26156">
              <w:t xml:space="preserve">) Changes be made to report </w:t>
            </w:r>
            <w:proofErr w:type="gramStart"/>
            <w:r w:rsidR="00E26156">
              <w:t xml:space="preserve">formatting; </w:t>
            </w:r>
            <w:r>
              <w:t xml:space="preserve"> 2</w:t>
            </w:r>
            <w:proofErr w:type="gramEnd"/>
            <w:r w:rsidR="00E26156">
              <w:t>) A new graph be added for assignments from multiple courses that measure the same outcome</w:t>
            </w:r>
            <w:r w:rsidR="00E16D75">
              <w:t xml:space="preserve"> (assists with assessing consis</w:t>
            </w:r>
            <w:r w:rsidR="00462685">
              <w:t>tency between assessors and a more meaningful analysis of the data).</w:t>
            </w:r>
          </w:p>
          <w:p w:rsidR="00462685" w:rsidRDefault="00462685" w:rsidP="00282959"/>
          <w:p w:rsidR="00462685" w:rsidRDefault="00462685" w:rsidP="00282959">
            <w:r>
              <w:t>Though the Written Communication outcome criterion was met, it was low on some assessments.  Faculty attributed this to International student challenges.  The writing lab for international students on a weekday is problematic for evening classes.  This should be explored.</w:t>
            </w:r>
          </w:p>
          <w:p w:rsidR="006C7E75" w:rsidRDefault="006C7E75" w:rsidP="00282959"/>
          <w:p w:rsidR="00C016A4" w:rsidRDefault="00C016A4" w:rsidP="00282959"/>
          <w:p w:rsidR="00C016A4" w:rsidRDefault="00C016A4" w:rsidP="00282959"/>
          <w:p w:rsidR="00C016A4" w:rsidRPr="00282959" w:rsidRDefault="00C016A4" w:rsidP="00282959"/>
        </w:tc>
      </w:tr>
      <w:tr w:rsidR="00282959" w:rsidRPr="00282959" w:rsidTr="004A173E">
        <w:tc>
          <w:tcPr>
            <w:tcW w:w="10070" w:type="dxa"/>
            <w:gridSpan w:val="5"/>
            <w:shd w:val="clear" w:color="auto" w:fill="BFBFBF" w:themeFill="background1" w:themeFillShade="BF"/>
          </w:tcPr>
          <w:p w:rsidR="00282959" w:rsidRPr="00C7769D" w:rsidRDefault="00282959" w:rsidP="003E4C06">
            <w:pPr>
              <w:jc w:val="center"/>
              <w:rPr>
                <w:b/>
                <w:sz w:val="28"/>
                <w:szCs w:val="28"/>
              </w:rPr>
            </w:pPr>
            <w:r w:rsidRPr="00C7769D">
              <w:rPr>
                <w:b/>
                <w:sz w:val="28"/>
                <w:szCs w:val="28"/>
              </w:rPr>
              <w:lastRenderedPageBreak/>
              <w:t>Results of Previous Actions for Improvement</w:t>
            </w:r>
          </w:p>
        </w:tc>
      </w:tr>
      <w:tr w:rsidR="00282959" w:rsidRPr="00282959" w:rsidTr="004A173E">
        <w:tc>
          <w:tcPr>
            <w:tcW w:w="10070" w:type="dxa"/>
            <w:gridSpan w:val="5"/>
            <w:shd w:val="clear" w:color="auto" w:fill="auto"/>
          </w:tcPr>
          <w:p w:rsidR="00971416" w:rsidRPr="00E34CEE" w:rsidRDefault="008C71BB" w:rsidP="00282959">
            <w:r w:rsidRPr="00E34CEE">
              <w:t>For the Global Perspectives outcome, another datab</w:t>
            </w:r>
            <w:r w:rsidR="00E34CEE">
              <w:t>ase and concept were added and the assignment was changed to ask for more interpreting.  This resulted in an improved learning experience and skill set for students.</w:t>
            </w:r>
          </w:p>
          <w:p w:rsidR="001B5B09" w:rsidRDefault="001B5B09" w:rsidP="00656782">
            <w:pPr>
              <w:rPr>
                <w:sz w:val="28"/>
                <w:szCs w:val="28"/>
              </w:rPr>
            </w:pPr>
          </w:p>
          <w:p w:rsidR="001B5B09" w:rsidRDefault="001B5B09" w:rsidP="001B5B09">
            <w:pPr>
              <w:rPr>
                <w:sz w:val="28"/>
                <w:szCs w:val="28"/>
              </w:rPr>
            </w:pPr>
          </w:p>
          <w:p w:rsidR="001B5B09" w:rsidRDefault="001B5B09" w:rsidP="001B5B09">
            <w:pPr>
              <w:jc w:val="center"/>
              <w:rPr>
                <w:sz w:val="28"/>
                <w:szCs w:val="28"/>
              </w:rPr>
            </w:pPr>
          </w:p>
          <w:p w:rsidR="001B5B09" w:rsidRDefault="001B5B09" w:rsidP="001B5B09">
            <w:pPr>
              <w:jc w:val="center"/>
              <w:rPr>
                <w:sz w:val="28"/>
                <w:szCs w:val="28"/>
              </w:rPr>
            </w:pPr>
          </w:p>
          <w:p w:rsidR="001B5B09" w:rsidRPr="00C7769D" w:rsidRDefault="001B5B09" w:rsidP="001B5B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12B5" w:rsidRDefault="000712B5" w:rsidP="00656782">
      <w:pPr>
        <w:spacing w:after="0"/>
        <w:jc w:val="center"/>
        <w:rPr>
          <w:b/>
          <w:sz w:val="36"/>
          <w:szCs w:val="36"/>
        </w:rPr>
      </w:pPr>
    </w:p>
    <w:p w:rsidR="00267F43" w:rsidRDefault="00267F43" w:rsidP="000712B5">
      <w:pPr>
        <w:spacing w:after="0"/>
        <w:jc w:val="center"/>
        <w:rPr>
          <w:b/>
          <w:sz w:val="36"/>
          <w:szCs w:val="36"/>
        </w:rPr>
      </w:pPr>
    </w:p>
    <w:p w:rsidR="000712B5" w:rsidRPr="00B24E7A" w:rsidRDefault="000712B5" w:rsidP="000712B5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t>Longitudinal Data</w:t>
      </w:r>
      <w:r>
        <w:rPr>
          <w:b/>
          <w:sz w:val="36"/>
          <w:szCs w:val="36"/>
        </w:rPr>
        <w:t xml:space="preserve">: </w:t>
      </w:r>
      <w:r w:rsidR="00E061B1">
        <w:rPr>
          <w:b/>
          <w:sz w:val="36"/>
          <w:szCs w:val="36"/>
        </w:rPr>
        <w:t>Oral Communication Outcome</w:t>
      </w:r>
    </w:p>
    <w:p w:rsidR="000712B5" w:rsidRDefault="000712B5" w:rsidP="000712B5">
      <w:pPr>
        <w:spacing w:after="120" w:line="240" w:lineRule="auto"/>
        <w:rPr>
          <w:b/>
        </w:rPr>
      </w:pPr>
    </w:p>
    <w:p w:rsidR="000712B5" w:rsidRDefault="000712B5" w:rsidP="000712B5">
      <w:pPr>
        <w:spacing w:after="120" w:line="240" w:lineRule="auto"/>
        <w:rPr>
          <w:b/>
        </w:rPr>
      </w:pPr>
      <w:r>
        <w:rPr>
          <w:b/>
        </w:rPr>
        <w:t xml:space="preserve">Outcome: </w:t>
      </w:r>
      <w:r w:rsidRPr="00097C20">
        <w:t>Oral Communication</w:t>
      </w:r>
    </w:p>
    <w:p w:rsidR="002B31B9" w:rsidRDefault="005E4338" w:rsidP="000712B5">
      <w:pPr>
        <w:spacing w:after="120" w:line="240" w:lineRule="auto"/>
      </w:pPr>
      <w:r>
        <w:rPr>
          <w:b/>
        </w:rPr>
        <w:t>Internal, Direct, Formative Measure</w:t>
      </w:r>
      <w:r w:rsidR="00E061B1">
        <w:rPr>
          <w:b/>
        </w:rPr>
        <w:t xml:space="preserve">: </w:t>
      </w:r>
      <w:r w:rsidR="002B31B9">
        <w:t xml:space="preserve">GBUS 574 Presentation at the </w:t>
      </w:r>
      <w:r w:rsidR="002B31B9" w:rsidRPr="002B31B9">
        <w:rPr>
          <w:u w:val="single"/>
        </w:rPr>
        <w:t>Introductory Level</w:t>
      </w:r>
      <w:r w:rsidR="002B31B9">
        <w:rPr>
          <w:u w:val="single"/>
        </w:rPr>
        <w:t xml:space="preserve"> </w:t>
      </w:r>
    </w:p>
    <w:p w:rsidR="000712B5" w:rsidRDefault="00E061B1" w:rsidP="00094778">
      <w:pPr>
        <w:spacing w:after="120" w:line="240" w:lineRule="auto"/>
      </w:pPr>
      <w:r w:rsidRPr="00097C20">
        <w:rPr>
          <w:b/>
        </w:rPr>
        <w:t>Rubric</w:t>
      </w:r>
      <w:r w:rsidR="00097C20">
        <w:rPr>
          <w:b/>
        </w:rPr>
        <w:t>:</w:t>
      </w:r>
      <w:r w:rsidR="00AC6DF3">
        <w:rPr>
          <w:b/>
        </w:rPr>
        <w:t xml:space="preserve"> </w:t>
      </w:r>
      <w:r w:rsidR="00094778" w:rsidRPr="00094778">
        <w:t>AACU – Oral Communication</w:t>
      </w:r>
      <w:r w:rsidR="002B31B9">
        <w:t xml:space="preserve"> </w:t>
      </w:r>
    </w:p>
    <w:p w:rsidR="005E4338" w:rsidRDefault="005E4338" w:rsidP="00094778">
      <w:pPr>
        <w:spacing w:after="120" w:line="240" w:lineRule="auto"/>
      </w:pPr>
      <w:r>
        <w:rPr>
          <w:b/>
        </w:rPr>
        <w:t>Criteria</w:t>
      </w:r>
      <w:r w:rsidRPr="005E4338">
        <w:rPr>
          <w:b/>
        </w:rPr>
        <w:t xml:space="preserve"> for Success:</w:t>
      </w:r>
      <w:r w:rsidR="00164855">
        <w:t xml:space="preserve">  7</w:t>
      </w:r>
      <w:r>
        <w:t>0% of students at 3 or above</w:t>
      </w:r>
    </w:p>
    <w:p w:rsidR="00094778" w:rsidRDefault="00094778" w:rsidP="00094778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712B5" w:rsidRPr="00B24E7A" w:rsidTr="003F78C1">
        <w:tc>
          <w:tcPr>
            <w:tcW w:w="2517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17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18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18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0712B5" w:rsidTr="003F78C1">
        <w:tc>
          <w:tcPr>
            <w:tcW w:w="2517" w:type="dxa"/>
          </w:tcPr>
          <w:p w:rsidR="000712B5" w:rsidRPr="00B05B18" w:rsidRDefault="00094227" w:rsidP="003F78C1">
            <w:r>
              <w:t>Fall 2015</w:t>
            </w:r>
          </w:p>
        </w:tc>
        <w:tc>
          <w:tcPr>
            <w:tcW w:w="2517" w:type="dxa"/>
          </w:tcPr>
          <w:p w:rsidR="000712B5" w:rsidRPr="00B05B18" w:rsidRDefault="00094227" w:rsidP="003F78C1">
            <w:r>
              <w:t>19</w:t>
            </w:r>
          </w:p>
        </w:tc>
        <w:tc>
          <w:tcPr>
            <w:tcW w:w="2518" w:type="dxa"/>
          </w:tcPr>
          <w:p w:rsidR="000712B5" w:rsidRPr="00B05B18" w:rsidRDefault="002C65E5" w:rsidP="003F78C1">
            <w:r>
              <w:t>3.05</w:t>
            </w:r>
          </w:p>
        </w:tc>
        <w:tc>
          <w:tcPr>
            <w:tcW w:w="2518" w:type="dxa"/>
          </w:tcPr>
          <w:p w:rsidR="000712B5" w:rsidRPr="00B05B18" w:rsidRDefault="002C65E5" w:rsidP="003F78C1">
            <w:r>
              <w:t>63</w:t>
            </w:r>
            <w:r w:rsidR="00094227">
              <w:t>%</w:t>
            </w:r>
          </w:p>
        </w:tc>
      </w:tr>
      <w:tr w:rsidR="002C65E5" w:rsidTr="003F78C1">
        <w:tc>
          <w:tcPr>
            <w:tcW w:w="2517" w:type="dxa"/>
          </w:tcPr>
          <w:p w:rsidR="002C65E5" w:rsidRDefault="002C65E5" w:rsidP="003F78C1">
            <w:r>
              <w:t>Fall 2016</w:t>
            </w:r>
          </w:p>
        </w:tc>
        <w:tc>
          <w:tcPr>
            <w:tcW w:w="2517" w:type="dxa"/>
          </w:tcPr>
          <w:p w:rsidR="002C65E5" w:rsidRDefault="002C65E5" w:rsidP="003F78C1">
            <w:r>
              <w:t>14</w:t>
            </w:r>
          </w:p>
        </w:tc>
        <w:tc>
          <w:tcPr>
            <w:tcW w:w="2518" w:type="dxa"/>
          </w:tcPr>
          <w:p w:rsidR="002C65E5" w:rsidRDefault="002C65E5" w:rsidP="003F78C1">
            <w:r>
              <w:t>3.34</w:t>
            </w:r>
          </w:p>
        </w:tc>
        <w:tc>
          <w:tcPr>
            <w:tcW w:w="2518" w:type="dxa"/>
          </w:tcPr>
          <w:p w:rsidR="002C65E5" w:rsidRDefault="002C65E5" w:rsidP="003F78C1">
            <w:r>
              <w:t>86%</w:t>
            </w:r>
          </w:p>
        </w:tc>
      </w:tr>
    </w:tbl>
    <w:p w:rsidR="000712B5" w:rsidRDefault="000712B5" w:rsidP="000712B5">
      <w:pPr>
        <w:spacing w:after="0"/>
        <w:rPr>
          <w:b/>
        </w:rPr>
      </w:pPr>
    </w:p>
    <w:p w:rsidR="000712B5" w:rsidRDefault="000712B5" w:rsidP="000712B5">
      <w:pPr>
        <w:spacing w:after="0"/>
      </w:pPr>
      <w:bookmarkStart w:id="0" w:name="_GoBack"/>
      <w:bookmarkEnd w:id="0"/>
    </w:p>
    <w:p w:rsidR="000712B5" w:rsidRDefault="000712B5" w:rsidP="000712B5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D2DC6DD" wp14:editId="1033084B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2B5" w:rsidRPr="00B24E7A" w:rsidRDefault="000712B5" w:rsidP="000712B5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lastRenderedPageBreak/>
        <w:t>Longitudinal Data</w:t>
      </w:r>
      <w:r>
        <w:rPr>
          <w:b/>
          <w:sz w:val="36"/>
          <w:szCs w:val="36"/>
        </w:rPr>
        <w:t xml:space="preserve">: </w:t>
      </w:r>
      <w:r w:rsidR="00E061B1">
        <w:rPr>
          <w:b/>
          <w:sz w:val="36"/>
          <w:szCs w:val="36"/>
        </w:rPr>
        <w:t xml:space="preserve">Written Communication </w:t>
      </w:r>
    </w:p>
    <w:p w:rsidR="000712B5" w:rsidRDefault="000712B5" w:rsidP="000712B5">
      <w:pPr>
        <w:spacing w:after="120" w:line="240" w:lineRule="auto"/>
        <w:jc w:val="center"/>
        <w:rPr>
          <w:b/>
        </w:rPr>
      </w:pPr>
    </w:p>
    <w:p w:rsidR="000712B5" w:rsidRDefault="000712B5" w:rsidP="000712B5">
      <w:pPr>
        <w:rPr>
          <w:b/>
        </w:rPr>
      </w:pPr>
      <w:r w:rsidRPr="00AE6074">
        <w:rPr>
          <w:b/>
        </w:rPr>
        <w:t xml:space="preserve">Outcome: </w:t>
      </w:r>
      <w:r w:rsidRPr="00097C20">
        <w:t>Written Communication</w:t>
      </w:r>
    </w:p>
    <w:p w:rsidR="00E061B1" w:rsidRDefault="00E63576" w:rsidP="000712B5">
      <w:r>
        <w:rPr>
          <w:b/>
        </w:rPr>
        <w:t>Internal, Direct, Formative Measure</w:t>
      </w:r>
      <w:r w:rsidR="00E061B1">
        <w:rPr>
          <w:b/>
        </w:rPr>
        <w:t xml:space="preserve">: </w:t>
      </w:r>
      <w:r w:rsidR="00275856" w:rsidRPr="00275856">
        <w:t>GMGT 585</w:t>
      </w:r>
      <w:r>
        <w:t xml:space="preserve"> Individual Term Project at the </w:t>
      </w:r>
      <w:r w:rsidRPr="00E63576">
        <w:rPr>
          <w:u w:val="single"/>
        </w:rPr>
        <w:t>Introductory Level</w:t>
      </w:r>
      <w:r w:rsidR="00275856">
        <w:t xml:space="preserve"> </w:t>
      </w:r>
    </w:p>
    <w:p w:rsidR="00097C20" w:rsidRDefault="00097C20" w:rsidP="000712B5">
      <w:r w:rsidRPr="00097C20">
        <w:rPr>
          <w:b/>
        </w:rPr>
        <w:t>Rubric</w:t>
      </w:r>
      <w:r w:rsidR="00AC6DF3">
        <w:rPr>
          <w:b/>
        </w:rPr>
        <w:t xml:space="preserve">: </w:t>
      </w:r>
      <w:r w:rsidR="00275856" w:rsidRPr="00275856">
        <w:t>Communication Skills</w:t>
      </w:r>
    </w:p>
    <w:p w:rsidR="00E63576" w:rsidRDefault="00E63576" w:rsidP="00E63576">
      <w:pPr>
        <w:spacing w:after="120" w:line="240" w:lineRule="auto"/>
      </w:pPr>
      <w:r>
        <w:rPr>
          <w:b/>
        </w:rPr>
        <w:t>Criteria</w:t>
      </w:r>
      <w:r w:rsidRPr="005E4338">
        <w:rPr>
          <w:b/>
        </w:rPr>
        <w:t xml:space="preserve"> for Success:</w:t>
      </w:r>
      <w:r w:rsidR="00164855">
        <w:t xml:space="preserve">  7</w:t>
      </w:r>
      <w:r>
        <w:t>0% of students at 3 or above</w:t>
      </w:r>
    </w:p>
    <w:p w:rsidR="000712B5" w:rsidRDefault="000712B5" w:rsidP="000712B5">
      <w:pPr>
        <w:spacing w:after="120" w:line="240" w:lineRule="auto"/>
        <w:rPr>
          <w:b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24"/>
        <w:gridCol w:w="2524"/>
        <w:gridCol w:w="2525"/>
        <w:gridCol w:w="2525"/>
      </w:tblGrid>
      <w:tr w:rsidR="000712B5" w:rsidRPr="00B24E7A" w:rsidTr="003F78C1">
        <w:trPr>
          <w:trHeight w:val="696"/>
        </w:trPr>
        <w:tc>
          <w:tcPr>
            <w:tcW w:w="2524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24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25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25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0712B5" w:rsidTr="003F78C1">
        <w:trPr>
          <w:trHeight w:val="357"/>
        </w:trPr>
        <w:tc>
          <w:tcPr>
            <w:tcW w:w="2524" w:type="dxa"/>
          </w:tcPr>
          <w:p w:rsidR="000712B5" w:rsidRPr="00B05B18" w:rsidRDefault="000712B5" w:rsidP="003F78C1">
            <w:r>
              <w:t>Fall 2015</w:t>
            </w:r>
          </w:p>
        </w:tc>
        <w:tc>
          <w:tcPr>
            <w:tcW w:w="2524" w:type="dxa"/>
          </w:tcPr>
          <w:p w:rsidR="000712B5" w:rsidRPr="00B05B18" w:rsidRDefault="000712B5" w:rsidP="003F78C1">
            <w:r>
              <w:t>12</w:t>
            </w:r>
          </w:p>
        </w:tc>
        <w:tc>
          <w:tcPr>
            <w:tcW w:w="2525" w:type="dxa"/>
          </w:tcPr>
          <w:p w:rsidR="000712B5" w:rsidRPr="00B05B18" w:rsidRDefault="000712B5" w:rsidP="003F78C1">
            <w:r>
              <w:t>3.00</w:t>
            </w:r>
          </w:p>
        </w:tc>
        <w:tc>
          <w:tcPr>
            <w:tcW w:w="2525" w:type="dxa"/>
          </w:tcPr>
          <w:p w:rsidR="000712B5" w:rsidRPr="00B05B18" w:rsidRDefault="00883253" w:rsidP="003F78C1">
            <w:r>
              <w:t>75</w:t>
            </w:r>
          </w:p>
        </w:tc>
      </w:tr>
      <w:tr w:rsidR="000712B5" w:rsidTr="003F78C1">
        <w:trPr>
          <w:trHeight w:val="357"/>
        </w:trPr>
        <w:tc>
          <w:tcPr>
            <w:tcW w:w="2524" w:type="dxa"/>
          </w:tcPr>
          <w:p w:rsidR="000712B5" w:rsidRPr="00B05B18" w:rsidRDefault="000712B5" w:rsidP="003F78C1">
            <w:r>
              <w:t>Spring 2016</w:t>
            </w:r>
          </w:p>
        </w:tc>
        <w:tc>
          <w:tcPr>
            <w:tcW w:w="2524" w:type="dxa"/>
          </w:tcPr>
          <w:p w:rsidR="000712B5" w:rsidRPr="00B05B18" w:rsidRDefault="000712B5" w:rsidP="003F78C1">
            <w:r>
              <w:t>13</w:t>
            </w:r>
          </w:p>
        </w:tc>
        <w:tc>
          <w:tcPr>
            <w:tcW w:w="2525" w:type="dxa"/>
          </w:tcPr>
          <w:p w:rsidR="000712B5" w:rsidRPr="00B05B18" w:rsidRDefault="000712B5" w:rsidP="003F78C1">
            <w:r>
              <w:t>3.31</w:t>
            </w:r>
          </w:p>
        </w:tc>
        <w:tc>
          <w:tcPr>
            <w:tcW w:w="2525" w:type="dxa"/>
          </w:tcPr>
          <w:p w:rsidR="000712B5" w:rsidRPr="00B05B18" w:rsidRDefault="00883253" w:rsidP="003F78C1">
            <w:r>
              <w:t>85</w:t>
            </w:r>
          </w:p>
        </w:tc>
      </w:tr>
    </w:tbl>
    <w:p w:rsidR="000712B5" w:rsidRDefault="000712B5" w:rsidP="000712B5">
      <w:pPr>
        <w:spacing w:after="0"/>
        <w:rPr>
          <w:b/>
        </w:rPr>
      </w:pPr>
    </w:p>
    <w:p w:rsidR="000712B5" w:rsidRDefault="000712B5" w:rsidP="000712B5">
      <w:pPr>
        <w:spacing w:after="0"/>
      </w:pPr>
    </w:p>
    <w:p w:rsidR="000712B5" w:rsidRDefault="000712B5" w:rsidP="000712B5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FA49F2" wp14:editId="5EF3A36D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2B5" w:rsidRDefault="000712B5" w:rsidP="000712B5">
      <w:pPr>
        <w:spacing w:after="0"/>
      </w:pPr>
    </w:p>
    <w:p w:rsidR="000712B5" w:rsidRDefault="000712B5" w:rsidP="000712B5">
      <w:pPr>
        <w:spacing w:after="0"/>
      </w:pPr>
      <w:r>
        <w:br w:type="textWrapping" w:clear="all"/>
      </w:r>
    </w:p>
    <w:p w:rsidR="000712B5" w:rsidRDefault="000712B5" w:rsidP="000712B5">
      <w:pPr>
        <w:spacing w:after="0"/>
      </w:pPr>
    </w:p>
    <w:p w:rsidR="000712B5" w:rsidRDefault="000712B5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712B5" w:rsidRPr="00B24E7A" w:rsidRDefault="000712B5" w:rsidP="000712B5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lastRenderedPageBreak/>
        <w:t>Longitudinal Data</w:t>
      </w:r>
      <w:r>
        <w:rPr>
          <w:b/>
          <w:sz w:val="36"/>
          <w:szCs w:val="36"/>
        </w:rPr>
        <w:t xml:space="preserve">: </w:t>
      </w:r>
      <w:r w:rsidR="000A61AE">
        <w:rPr>
          <w:b/>
          <w:sz w:val="36"/>
          <w:szCs w:val="36"/>
        </w:rPr>
        <w:t>Written Communication</w:t>
      </w:r>
    </w:p>
    <w:p w:rsidR="000712B5" w:rsidRDefault="000712B5" w:rsidP="000712B5">
      <w:pPr>
        <w:spacing w:after="120" w:line="240" w:lineRule="auto"/>
        <w:jc w:val="center"/>
        <w:rPr>
          <w:b/>
        </w:rPr>
      </w:pPr>
    </w:p>
    <w:p w:rsidR="0024008D" w:rsidRDefault="0024008D" w:rsidP="0024008D">
      <w:pPr>
        <w:rPr>
          <w:b/>
        </w:rPr>
      </w:pPr>
      <w:r w:rsidRPr="00AE6074">
        <w:rPr>
          <w:b/>
        </w:rPr>
        <w:t xml:space="preserve">Outcome: </w:t>
      </w:r>
      <w:r w:rsidRPr="00097C20">
        <w:t>Written Communication</w:t>
      </w:r>
    </w:p>
    <w:p w:rsidR="0024008D" w:rsidRDefault="0024008D" w:rsidP="0024008D">
      <w:r>
        <w:rPr>
          <w:b/>
        </w:rPr>
        <w:t xml:space="preserve">Internal, Direct, Formative Measure: </w:t>
      </w:r>
      <w:r>
        <w:t xml:space="preserve">GMGT 561 Report at the </w:t>
      </w:r>
      <w:r w:rsidRPr="00E63576">
        <w:rPr>
          <w:u w:val="single"/>
        </w:rPr>
        <w:t>Introductory Level</w:t>
      </w:r>
      <w:r>
        <w:t xml:space="preserve"> </w:t>
      </w:r>
    </w:p>
    <w:p w:rsidR="0024008D" w:rsidRDefault="0024008D" w:rsidP="0024008D">
      <w:r w:rsidRPr="00097C20">
        <w:rPr>
          <w:b/>
        </w:rPr>
        <w:t>Rubric</w:t>
      </w:r>
      <w:r>
        <w:rPr>
          <w:b/>
        </w:rPr>
        <w:t xml:space="preserve">: </w:t>
      </w:r>
      <w:r w:rsidRPr="00275856">
        <w:t>AACU Report – Written Communication</w:t>
      </w:r>
    </w:p>
    <w:p w:rsidR="00E061B1" w:rsidRDefault="0024008D" w:rsidP="000712B5">
      <w:pPr>
        <w:spacing w:after="120" w:line="240" w:lineRule="auto"/>
      </w:pPr>
      <w:r>
        <w:rPr>
          <w:b/>
        </w:rPr>
        <w:t>Criteria</w:t>
      </w:r>
      <w:r w:rsidRPr="005E4338">
        <w:rPr>
          <w:b/>
        </w:rPr>
        <w:t xml:space="preserve"> for Success:</w:t>
      </w:r>
      <w:r>
        <w:t xml:space="preserve">  </w:t>
      </w:r>
      <w:r w:rsidR="00164855">
        <w:t>70</w:t>
      </w:r>
      <w:r>
        <w:t>% of students at 3 or above</w:t>
      </w:r>
    </w:p>
    <w:p w:rsidR="000712B5" w:rsidRDefault="000712B5" w:rsidP="000712B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0712B5" w:rsidRPr="00B24E7A" w:rsidTr="003F78C1">
        <w:tc>
          <w:tcPr>
            <w:tcW w:w="2517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17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18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18" w:type="dxa"/>
          </w:tcPr>
          <w:p w:rsidR="000712B5" w:rsidRPr="00B24E7A" w:rsidRDefault="000712B5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162556" w:rsidTr="003F78C1">
        <w:tc>
          <w:tcPr>
            <w:tcW w:w="2517" w:type="dxa"/>
          </w:tcPr>
          <w:p w:rsidR="00162556" w:rsidRPr="00B05B18" w:rsidRDefault="00C74AE9" w:rsidP="00162556">
            <w:r>
              <w:t>Fall 2015</w:t>
            </w:r>
          </w:p>
        </w:tc>
        <w:tc>
          <w:tcPr>
            <w:tcW w:w="2517" w:type="dxa"/>
          </w:tcPr>
          <w:p w:rsidR="00162556" w:rsidRPr="00B05B18" w:rsidRDefault="00162556" w:rsidP="00162556">
            <w:r>
              <w:t>19</w:t>
            </w:r>
          </w:p>
        </w:tc>
        <w:tc>
          <w:tcPr>
            <w:tcW w:w="2518" w:type="dxa"/>
          </w:tcPr>
          <w:p w:rsidR="00162556" w:rsidRPr="00B05B18" w:rsidRDefault="00162556" w:rsidP="00162556">
            <w:r>
              <w:t>3.37</w:t>
            </w:r>
          </w:p>
        </w:tc>
        <w:tc>
          <w:tcPr>
            <w:tcW w:w="2518" w:type="dxa"/>
          </w:tcPr>
          <w:p w:rsidR="00162556" w:rsidRPr="00B05B18" w:rsidRDefault="00162556" w:rsidP="00162556">
            <w:r>
              <w:t>92</w:t>
            </w:r>
          </w:p>
        </w:tc>
      </w:tr>
      <w:tr w:rsidR="000712B5" w:rsidTr="003F78C1">
        <w:tc>
          <w:tcPr>
            <w:tcW w:w="2517" w:type="dxa"/>
          </w:tcPr>
          <w:p w:rsidR="000712B5" w:rsidRPr="00B05B18" w:rsidRDefault="00C74AE9" w:rsidP="003F78C1">
            <w:r>
              <w:t>Spring</w:t>
            </w:r>
            <w:r w:rsidR="000712B5">
              <w:t xml:space="preserve"> 2016</w:t>
            </w:r>
          </w:p>
        </w:tc>
        <w:tc>
          <w:tcPr>
            <w:tcW w:w="2517" w:type="dxa"/>
          </w:tcPr>
          <w:p w:rsidR="000712B5" w:rsidRPr="00B05B18" w:rsidRDefault="00A60C07" w:rsidP="003F78C1">
            <w:r>
              <w:t>13</w:t>
            </w:r>
          </w:p>
        </w:tc>
        <w:tc>
          <w:tcPr>
            <w:tcW w:w="2518" w:type="dxa"/>
          </w:tcPr>
          <w:p w:rsidR="000712B5" w:rsidRPr="00B05B18" w:rsidRDefault="00A60C07" w:rsidP="003F78C1">
            <w:r>
              <w:t>3.17</w:t>
            </w:r>
          </w:p>
        </w:tc>
        <w:tc>
          <w:tcPr>
            <w:tcW w:w="2518" w:type="dxa"/>
          </w:tcPr>
          <w:p w:rsidR="000712B5" w:rsidRPr="00B05B18" w:rsidRDefault="00A60C07" w:rsidP="003F78C1">
            <w:r>
              <w:t>82</w:t>
            </w:r>
          </w:p>
        </w:tc>
      </w:tr>
    </w:tbl>
    <w:p w:rsidR="000712B5" w:rsidRDefault="000712B5" w:rsidP="000712B5">
      <w:pPr>
        <w:spacing w:after="0"/>
        <w:rPr>
          <w:b/>
        </w:rPr>
      </w:pPr>
    </w:p>
    <w:p w:rsidR="000712B5" w:rsidRDefault="000712B5" w:rsidP="000712B5">
      <w:pPr>
        <w:spacing w:after="0"/>
      </w:pPr>
    </w:p>
    <w:p w:rsidR="000712B5" w:rsidRDefault="000712B5" w:rsidP="000712B5">
      <w:pPr>
        <w:spacing w:after="0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D2DC6DD" wp14:editId="1033084B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2B5" w:rsidRDefault="000712B5" w:rsidP="000712B5">
      <w:pPr>
        <w:spacing w:after="0"/>
      </w:pPr>
    </w:p>
    <w:p w:rsidR="000712B5" w:rsidRDefault="000712B5" w:rsidP="000712B5">
      <w:pPr>
        <w:spacing w:after="0"/>
      </w:pPr>
      <w:r>
        <w:br w:type="textWrapping" w:clear="all"/>
      </w:r>
    </w:p>
    <w:p w:rsidR="000712B5" w:rsidRDefault="000712B5" w:rsidP="000712B5">
      <w:pPr>
        <w:spacing w:after="0"/>
      </w:pPr>
    </w:p>
    <w:p w:rsidR="000712B5" w:rsidRDefault="000712B5" w:rsidP="000712B5">
      <w:pPr>
        <w:spacing w:after="0"/>
      </w:pPr>
    </w:p>
    <w:p w:rsidR="000712B5" w:rsidRDefault="000712B5">
      <w:r>
        <w:br w:type="page"/>
      </w:r>
    </w:p>
    <w:p w:rsidR="00275856" w:rsidRDefault="00D27DD2" w:rsidP="002829BA">
      <w:pPr>
        <w:tabs>
          <w:tab w:val="left" w:pos="375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Written Communication: </w:t>
      </w:r>
      <w:r w:rsidRPr="00D27DD2">
        <w:rPr>
          <w:sz w:val="28"/>
          <w:szCs w:val="36"/>
        </w:rPr>
        <w:t>Combined GMGT 585 and GMGT 561</w:t>
      </w:r>
      <w:r w:rsidR="002829BA">
        <w:rPr>
          <w:sz w:val="28"/>
          <w:szCs w:val="36"/>
        </w:rPr>
        <w:t xml:space="preserve"> (Mean)</w:t>
      </w:r>
      <w:r w:rsidR="00275856">
        <w:rPr>
          <w:b/>
          <w:sz w:val="36"/>
          <w:szCs w:val="36"/>
        </w:rPr>
        <w:tab/>
      </w:r>
      <w:r w:rsidR="00275856">
        <w:rPr>
          <w:noProof/>
        </w:rPr>
        <w:drawing>
          <wp:anchor distT="0" distB="0" distL="114300" distR="114300" simplePos="0" relativeHeight="251682816" behindDoc="0" locked="0" layoutInCell="1" allowOverlap="1" wp14:anchorId="1CE0CDBC" wp14:editId="7741728B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6372225" cy="3248025"/>
            <wp:effectExtent l="0" t="0" r="9525" b="9525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275856" w:rsidRDefault="00275856" w:rsidP="000712B5">
      <w:pPr>
        <w:spacing w:after="0"/>
        <w:jc w:val="center"/>
        <w:rPr>
          <w:b/>
          <w:sz w:val="36"/>
          <w:szCs w:val="36"/>
        </w:rPr>
      </w:pPr>
    </w:p>
    <w:p w:rsidR="00656782" w:rsidRDefault="00656782" w:rsidP="00656782">
      <w:pPr>
        <w:spacing w:after="0"/>
      </w:pPr>
    </w:p>
    <w:p w:rsidR="00656782" w:rsidRPr="00B24E7A" w:rsidRDefault="00656782" w:rsidP="00656782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t>Longitudinal Data</w:t>
      </w:r>
      <w:r w:rsidR="000712B5">
        <w:rPr>
          <w:b/>
          <w:sz w:val="36"/>
          <w:szCs w:val="36"/>
        </w:rPr>
        <w:t xml:space="preserve">: </w:t>
      </w:r>
      <w:r w:rsidR="000A61AE">
        <w:rPr>
          <w:b/>
          <w:sz w:val="36"/>
          <w:szCs w:val="36"/>
        </w:rPr>
        <w:t>Critical Thinking</w:t>
      </w:r>
    </w:p>
    <w:p w:rsidR="001C70F5" w:rsidRDefault="001C70F5" w:rsidP="001C70F5">
      <w:pPr>
        <w:spacing w:after="120" w:line="240" w:lineRule="auto"/>
        <w:jc w:val="center"/>
        <w:rPr>
          <w:b/>
        </w:rPr>
      </w:pPr>
    </w:p>
    <w:p w:rsidR="001C70F5" w:rsidRDefault="00656782" w:rsidP="001C70F5">
      <w:pPr>
        <w:rPr>
          <w:b/>
        </w:rPr>
      </w:pPr>
      <w:r w:rsidRPr="001C70F5">
        <w:rPr>
          <w:b/>
        </w:rPr>
        <w:t xml:space="preserve">Outcome: </w:t>
      </w:r>
      <w:r w:rsidR="001C70F5" w:rsidRPr="00097C20">
        <w:t>Critical Thinking</w:t>
      </w:r>
    </w:p>
    <w:p w:rsidR="00E061B1" w:rsidRPr="00F60B7D" w:rsidRDefault="008C055D" w:rsidP="001C70F5">
      <w:pPr>
        <w:rPr>
          <w:u w:val="single"/>
        </w:rPr>
      </w:pPr>
      <w:r>
        <w:rPr>
          <w:b/>
        </w:rPr>
        <w:t>Internal, Direct, Sum</w:t>
      </w:r>
      <w:r w:rsidR="00F60B7D">
        <w:rPr>
          <w:b/>
        </w:rPr>
        <w:t>mative Measure</w:t>
      </w:r>
      <w:r w:rsidR="00E061B1">
        <w:rPr>
          <w:b/>
        </w:rPr>
        <w:t xml:space="preserve">: </w:t>
      </w:r>
      <w:r w:rsidR="008C0C09" w:rsidRPr="008C0C09">
        <w:t>GMGT 585</w:t>
      </w:r>
      <w:r w:rsidR="00F60B7D">
        <w:t xml:space="preserve"> Individual Term Project at the </w:t>
      </w:r>
      <w:r w:rsidR="00F60B7D" w:rsidRPr="00F60B7D">
        <w:rPr>
          <w:u w:val="single"/>
        </w:rPr>
        <w:t>Mastery Level</w:t>
      </w:r>
    </w:p>
    <w:p w:rsidR="00656782" w:rsidRDefault="00097C20" w:rsidP="008C0C09">
      <w:pPr>
        <w:spacing w:after="120" w:line="240" w:lineRule="auto"/>
      </w:pPr>
      <w:r w:rsidRPr="00097C20">
        <w:rPr>
          <w:b/>
        </w:rPr>
        <w:t>Rubric</w:t>
      </w:r>
      <w:r>
        <w:rPr>
          <w:b/>
        </w:rPr>
        <w:t xml:space="preserve">: </w:t>
      </w:r>
      <w:r w:rsidR="008C0C09" w:rsidRPr="008C0C09">
        <w:t>Problem Solving/Critical Analysis: Summary, Critical Assessment and Value Statement Sections</w:t>
      </w:r>
    </w:p>
    <w:p w:rsidR="00F60B7D" w:rsidRDefault="00F60B7D" w:rsidP="008C0C09">
      <w:pPr>
        <w:spacing w:after="120" w:line="240" w:lineRule="auto"/>
      </w:pPr>
      <w:proofErr w:type="spellStart"/>
      <w:r w:rsidRPr="00F60B7D">
        <w:rPr>
          <w:b/>
        </w:rPr>
        <w:t>Criterian</w:t>
      </w:r>
      <w:proofErr w:type="spellEnd"/>
      <w:r w:rsidRPr="00F60B7D">
        <w:rPr>
          <w:b/>
        </w:rPr>
        <w:t xml:space="preserve"> for Success:</w:t>
      </w:r>
      <w:r>
        <w:t xml:space="preserve">  70% of Students at 3 or above</w:t>
      </w:r>
    </w:p>
    <w:p w:rsidR="00F60B7D" w:rsidRDefault="00F60B7D" w:rsidP="008C0C09">
      <w:pPr>
        <w:spacing w:after="12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656782" w:rsidRPr="00B24E7A" w:rsidTr="002016E0">
        <w:tc>
          <w:tcPr>
            <w:tcW w:w="2517" w:type="dxa"/>
          </w:tcPr>
          <w:p w:rsidR="00656782" w:rsidRPr="00B24E7A" w:rsidRDefault="00656782" w:rsidP="002016E0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17" w:type="dxa"/>
          </w:tcPr>
          <w:p w:rsidR="00656782" w:rsidRPr="00B24E7A" w:rsidRDefault="00656782" w:rsidP="002016E0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18" w:type="dxa"/>
          </w:tcPr>
          <w:p w:rsidR="00656782" w:rsidRPr="00B24E7A" w:rsidRDefault="00656782" w:rsidP="002016E0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18" w:type="dxa"/>
          </w:tcPr>
          <w:p w:rsidR="00656782" w:rsidRPr="00B24E7A" w:rsidRDefault="00656782" w:rsidP="002016E0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1C70F5" w:rsidTr="002016E0">
        <w:tc>
          <w:tcPr>
            <w:tcW w:w="2517" w:type="dxa"/>
          </w:tcPr>
          <w:p w:rsidR="001C70F5" w:rsidRPr="00B05B18" w:rsidRDefault="001C70F5" w:rsidP="001C70F5">
            <w:r>
              <w:t>Fall 2015</w:t>
            </w:r>
          </w:p>
        </w:tc>
        <w:tc>
          <w:tcPr>
            <w:tcW w:w="2517" w:type="dxa"/>
          </w:tcPr>
          <w:p w:rsidR="001C70F5" w:rsidRPr="00B05B18" w:rsidRDefault="001C70F5" w:rsidP="001C70F5">
            <w:r>
              <w:t>12</w:t>
            </w:r>
          </w:p>
        </w:tc>
        <w:tc>
          <w:tcPr>
            <w:tcW w:w="2518" w:type="dxa"/>
          </w:tcPr>
          <w:p w:rsidR="001C70F5" w:rsidRPr="00B05B18" w:rsidRDefault="004515E3" w:rsidP="001C70F5">
            <w:r>
              <w:t>3.00</w:t>
            </w:r>
          </w:p>
        </w:tc>
        <w:tc>
          <w:tcPr>
            <w:tcW w:w="2518" w:type="dxa"/>
          </w:tcPr>
          <w:p w:rsidR="001C70F5" w:rsidRPr="00B05B18" w:rsidRDefault="004515E3" w:rsidP="001C70F5">
            <w:r>
              <w:t>69</w:t>
            </w:r>
          </w:p>
        </w:tc>
      </w:tr>
      <w:tr w:rsidR="001C70F5" w:rsidTr="002016E0">
        <w:tc>
          <w:tcPr>
            <w:tcW w:w="2517" w:type="dxa"/>
          </w:tcPr>
          <w:p w:rsidR="001C70F5" w:rsidRPr="00B05B18" w:rsidRDefault="001C70F5" w:rsidP="001C70F5">
            <w:r>
              <w:t>Spring 2016</w:t>
            </w:r>
          </w:p>
        </w:tc>
        <w:tc>
          <w:tcPr>
            <w:tcW w:w="2517" w:type="dxa"/>
          </w:tcPr>
          <w:p w:rsidR="001C70F5" w:rsidRPr="00B05B18" w:rsidRDefault="001C70F5" w:rsidP="001C70F5">
            <w:r>
              <w:t>13</w:t>
            </w:r>
          </w:p>
        </w:tc>
        <w:tc>
          <w:tcPr>
            <w:tcW w:w="2518" w:type="dxa"/>
          </w:tcPr>
          <w:p w:rsidR="001C70F5" w:rsidRPr="00B05B18" w:rsidRDefault="004515E3" w:rsidP="001C70F5">
            <w:r>
              <w:t>3.41</w:t>
            </w:r>
          </w:p>
        </w:tc>
        <w:tc>
          <w:tcPr>
            <w:tcW w:w="2518" w:type="dxa"/>
          </w:tcPr>
          <w:p w:rsidR="001C70F5" w:rsidRPr="00B05B18" w:rsidRDefault="004515E3" w:rsidP="001C70F5">
            <w:r>
              <w:t>85</w:t>
            </w:r>
          </w:p>
        </w:tc>
      </w:tr>
    </w:tbl>
    <w:p w:rsidR="00656782" w:rsidRDefault="00656782" w:rsidP="00656782">
      <w:pPr>
        <w:spacing w:after="0"/>
        <w:rPr>
          <w:b/>
        </w:rPr>
      </w:pPr>
    </w:p>
    <w:p w:rsidR="00656782" w:rsidRDefault="00656782" w:rsidP="00656782">
      <w:pPr>
        <w:spacing w:after="0"/>
      </w:pPr>
    </w:p>
    <w:p w:rsidR="00656782" w:rsidRDefault="00656782" w:rsidP="00656782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63EBC5" wp14:editId="1C58B185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6782" w:rsidRDefault="00656782" w:rsidP="00656782">
      <w:pPr>
        <w:spacing w:after="0"/>
      </w:pPr>
    </w:p>
    <w:p w:rsidR="00656782" w:rsidRDefault="00656782" w:rsidP="00656782">
      <w:pPr>
        <w:spacing w:after="0"/>
      </w:pPr>
      <w:r>
        <w:br w:type="textWrapping" w:clear="all"/>
      </w:r>
    </w:p>
    <w:p w:rsidR="00656782" w:rsidRDefault="00656782" w:rsidP="00656782">
      <w:pPr>
        <w:spacing w:after="0"/>
      </w:pPr>
    </w:p>
    <w:p w:rsidR="00656782" w:rsidRDefault="00656782" w:rsidP="00656782">
      <w:r>
        <w:br w:type="page"/>
      </w:r>
    </w:p>
    <w:p w:rsidR="00656782" w:rsidRDefault="00656782" w:rsidP="00656782">
      <w:pPr>
        <w:spacing w:after="0"/>
      </w:pPr>
    </w:p>
    <w:p w:rsidR="00F02118" w:rsidRPr="00B24E7A" w:rsidRDefault="00F02118" w:rsidP="00F02118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t>Longitudinal Data</w:t>
      </w:r>
      <w:r w:rsidR="00162556">
        <w:rPr>
          <w:b/>
          <w:sz w:val="36"/>
          <w:szCs w:val="36"/>
        </w:rPr>
        <w:t xml:space="preserve">: </w:t>
      </w:r>
      <w:r w:rsidR="000A61AE">
        <w:rPr>
          <w:b/>
          <w:sz w:val="36"/>
          <w:szCs w:val="36"/>
        </w:rPr>
        <w:t>Information Literacy</w:t>
      </w:r>
    </w:p>
    <w:p w:rsidR="00E061B1" w:rsidRDefault="00E061B1" w:rsidP="00E061B1">
      <w:pPr>
        <w:spacing w:after="0" w:line="240" w:lineRule="auto"/>
        <w:rPr>
          <w:b/>
        </w:rPr>
      </w:pPr>
    </w:p>
    <w:p w:rsidR="00F02118" w:rsidRDefault="00F02118" w:rsidP="00E061B1">
      <w:pPr>
        <w:spacing w:after="0" w:line="240" w:lineRule="auto"/>
      </w:pPr>
      <w:r w:rsidRPr="001C70F5">
        <w:rPr>
          <w:b/>
        </w:rPr>
        <w:t xml:space="preserve">Outcome: </w:t>
      </w:r>
      <w:r w:rsidRPr="00097C20">
        <w:t>Information Literacy</w:t>
      </w:r>
    </w:p>
    <w:p w:rsidR="00E061B1" w:rsidRDefault="00E061B1" w:rsidP="00E061B1">
      <w:pPr>
        <w:spacing w:after="0" w:line="240" w:lineRule="auto"/>
      </w:pPr>
    </w:p>
    <w:p w:rsidR="00097C20" w:rsidRDefault="008C055D" w:rsidP="00E061B1">
      <w:pPr>
        <w:spacing w:after="0" w:line="240" w:lineRule="auto"/>
      </w:pPr>
      <w:r>
        <w:rPr>
          <w:b/>
        </w:rPr>
        <w:t>Internal, Direct, Sum</w:t>
      </w:r>
      <w:r w:rsidR="00F60B7D">
        <w:rPr>
          <w:b/>
        </w:rPr>
        <w:t>mative Measure</w:t>
      </w:r>
      <w:r w:rsidR="00E061B1">
        <w:t xml:space="preserve">: </w:t>
      </w:r>
      <w:r w:rsidR="00033647">
        <w:t>GBUS 574 Final Exam</w:t>
      </w:r>
      <w:r w:rsidR="00607AF8">
        <w:t xml:space="preserve"> at the </w:t>
      </w:r>
      <w:r w:rsidR="00607AF8" w:rsidRPr="00607AF8">
        <w:rPr>
          <w:u w:val="single"/>
        </w:rPr>
        <w:t>Mastery Level</w:t>
      </w:r>
    </w:p>
    <w:p w:rsidR="00097C20" w:rsidRDefault="00097C20" w:rsidP="00E061B1">
      <w:pPr>
        <w:spacing w:after="0" w:line="240" w:lineRule="auto"/>
      </w:pPr>
    </w:p>
    <w:p w:rsidR="00E061B1" w:rsidRDefault="00E061B1" w:rsidP="00E061B1">
      <w:pPr>
        <w:spacing w:after="0" w:line="240" w:lineRule="auto"/>
      </w:pPr>
      <w:r w:rsidRPr="00097C20">
        <w:rPr>
          <w:b/>
        </w:rPr>
        <w:t>Rubric</w:t>
      </w:r>
      <w:r w:rsidR="00097C20">
        <w:rPr>
          <w:b/>
        </w:rPr>
        <w:t xml:space="preserve">: </w:t>
      </w:r>
      <w:r w:rsidR="00033647" w:rsidRPr="00033647">
        <w:t>AACU – Information Literacy</w:t>
      </w:r>
    </w:p>
    <w:p w:rsidR="00607AF8" w:rsidRDefault="00607AF8" w:rsidP="00E061B1">
      <w:pPr>
        <w:spacing w:after="0" w:line="240" w:lineRule="auto"/>
      </w:pPr>
    </w:p>
    <w:p w:rsidR="00607AF8" w:rsidRDefault="00607AF8" w:rsidP="00607AF8">
      <w:pPr>
        <w:spacing w:after="120" w:line="240" w:lineRule="auto"/>
      </w:pPr>
      <w:proofErr w:type="spellStart"/>
      <w:r w:rsidRPr="00F60B7D">
        <w:rPr>
          <w:b/>
        </w:rPr>
        <w:t>Criterian</w:t>
      </w:r>
      <w:proofErr w:type="spellEnd"/>
      <w:r w:rsidRPr="00F60B7D">
        <w:rPr>
          <w:b/>
        </w:rPr>
        <w:t xml:space="preserve"> for Success:</w:t>
      </w:r>
      <w:r>
        <w:t xml:space="preserve">  70% of Students at 3 or above</w:t>
      </w:r>
    </w:p>
    <w:p w:rsidR="00033647" w:rsidRDefault="00033647" w:rsidP="00E061B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02118" w:rsidRPr="00B24E7A" w:rsidTr="003F78C1">
        <w:tc>
          <w:tcPr>
            <w:tcW w:w="2517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17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18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18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F02118" w:rsidTr="003F78C1">
        <w:tc>
          <w:tcPr>
            <w:tcW w:w="2517" w:type="dxa"/>
          </w:tcPr>
          <w:p w:rsidR="00F02118" w:rsidRPr="00B05B18" w:rsidRDefault="006A6CB2" w:rsidP="003F78C1">
            <w:r>
              <w:t>Fall 2015</w:t>
            </w:r>
          </w:p>
        </w:tc>
        <w:tc>
          <w:tcPr>
            <w:tcW w:w="2517" w:type="dxa"/>
          </w:tcPr>
          <w:p w:rsidR="00F02118" w:rsidRPr="00B05B18" w:rsidRDefault="006A6CB2" w:rsidP="003F78C1">
            <w:r>
              <w:t>20</w:t>
            </w:r>
          </w:p>
        </w:tc>
        <w:tc>
          <w:tcPr>
            <w:tcW w:w="2518" w:type="dxa"/>
          </w:tcPr>
          <w:p w:rsidR="00F02118" w:rsidRPr="00B05B18" w:rsidRDefault="006A6CB2" w:rsidP="003F78C1">
            <w:r>
              <w:t>2.71</w:t>
            </w:r>
          </w:p>
        </w:tc>
        <w:tc>
          <w:tcPr>
            <w:tcW w:w="2518" w:type="dxa"/>
          </w:tcPr>
          <w:p w:rsidR="00F02118" w:rsidRPr="00B05B18" w:rsidRDefault="006A6CB2" w:rsidP="003F78C1">
            <w:r>
              <w:t>76%</w:t>
            </w:r>
          </w:p>
        </w:tc>
      </w:tr>
    </w:tbl>
    <w:p w:rsidR="00F02118" w:rsidRDefault="00F02118" w:rsidP="00F02118">
      <w:pPr>
        <w:spacing w:after="0"/>
        <w:rPr>
          <w:b/>
        </w:rPr>
      </w:pPr>
    </w:p>
    <w:p w:rsidR="00F02118" w:rsidRDefault="00F02118" w:rsidP="00F02118">
      <w:pPr>
        <w:spacing w:after="0"/>
      </w:pPr>
    </w:p>
    <w:p w:rsidR="00F02118" w:rsidRDefault="00F02118" w:rsidP="00F02118">
      <w:pPr>
        <w:spacing w:after="0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C30CB73" wp14:editId="36F9CD59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118" w:rsidRDefault="00F02118" w:rsidP="00F02118">
      <w:pPr>
        <w:spacing w:after="0"/>
      </w:pPr>
    </w:p>
    <w:p w:rsidR="00F02118" w:rsidRDefault="00F02118" w:rsidP="00F02118">
      <w:pPr>
        <w:spacing w:after="0"/>
      </w:pPr>
      <w:r>
        <w:br w:type="textWrapping" w:clear="all"/>
      </w:r>
    </w:p>
    <w:p w:rsidR="00F02118" w:rsidRDefault="00F02118" w:rsidP="00F02118">
      <w:pPr>
        <w:spacing w:after="0"/>
      </w:pPr>
    </w:p>
    <w:p w:rsidR="00F02118" w:rsidRDefault="00F02118">
      <w:r>
        <w:br w:type="page"/>
      </w:r>
    </w:p>
    <w:p w:rsidR="00F02118" w:rsidRPr="00B24E7A" w:rsidRDefault="00F02118" w:rsidP="00F02118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lastRenderedPageBreak/>
        <w:t>Longitudinal Data</w:t>
      </w:r>
      <w:r>
        <w:rPr>
          <w:b/>
          <w:sz w:val="36"/>
          <w:szCs w:val="36"/>
        </w:rPr>
        <w:t xml:space="preserve">: </w:t>
      </w:r>
      <w:r w:rsidR="00E061B1">
        <w:rPr>
          <w:b/>
          <w:sz w:val="36"/>
          <w:szCs w:val="36"/>
        </w:rPr>
        <w:t xml:space="preserve">Information Literacy </w:t>
      </w:r>
    </w:p>
    <w:p w:rsidR="00F02118" w:rsidRDefault="00F02118" w:rsidP="00F02118">
      <w:pPr>
        <w:spacing w:after="120" w:line="240" w:lineRule="auto"/>
        <w:rPr>
          <w:b/>
        </w:rPr>
      </w:pPr>
    </w:p>
    <w:p w:rsidR="00607AF8" w:rsidRDefault="00607AF8" w:rsidP="00607AF8">
      <w:pPr>
        <w:spacing w:after="0" w:line="240" w:lineRule="auto"/>
      </w:pPr>
      <w:r w:rsidRPr="001C70F5">
        <w:rPr>
          <w:b/>
        </w:rPr>
        <w:t xml:space="preserve">Outcome: </w:t>
      </w:r>
      <w:r w:rsidRPr="00097C20">
        <w:t>Information Literacy</w:t>
      </w:r>
    </w:p>
    <w:p w:rsidR="00607AF8" w:rsidRDefault="00607AF8" w:rsidP="00607AF8">
      <w:pPr>
        <w:spacing w:after="0" w:line="240" w:lineRule="auto"/>
      </w:pPr>
    </w:p>
    <w:p w:rsidR="00607AF8" w:rsidRPr="00607AF8" w:rsidRDefault="00607AF8" w:rsidP="00607AF8">
      <w:pPr>
        <w:spacing w:after="0" w:line="240" w:lineRule="auto"/>
        <w:rPr>
          <w:u w:val="single"/>
        </w:rPr>
      </w:pPr>
      <w:r>
        <w:rPr>
          <w:b/>
        </w:rPr>
        <w:t>Internal, Direct, Formative Measure</w:t>
      </w:r>
      <w:r>
        <w:t xml:space="preserve">: GMGT 561 Report at the </w:t>
      </w:r>
      <w:r w:rsidRPr="00607AF8">
        <w:rPr>
          <w:u w:val="single"/>
        </w:rPr>
        <w:t>Developmental Level</w:t>
      </w:r>
    </w:p>
    <w:p w:rsidR="00607AF8" w:rsidRDefault="00607AF8" w:rsidP="00607AF8">
      <w:pPr>
        <w:spacing w:after="0" w:line="240" w:lineRule="auto"/>
      </w:pPr>
    </w:p>
    <w:p w:rsidR="00607AF8" w:rsidRDefault="00607AF8" w:rsidP="00607AF8">
      <w:pPr>
        <w:spacing w:after="0" w:line="240" w:lineRule="auto"/>
      </w:pPr>
      <w:r w:rsidRPr="00097C20">
        <w:rPr>
          <w:b/>
        </w:rPr>
        <w:t>Rubric</w:t>
      </w:r>
      <w:r>
        <w:rPr>
          <w:b/>
        </w:rPr>
        <w:t xml:space="preserve">: </w:t>
      </w:r>
      <w:r w:rsidRPr="00033647">
        <w:t>AACU – Information Literacy</w:t>
      </w:r>
    </w:p>
    <w:p w:rsidR="00607AF8" w:rsidRDefault="00607AF8" w:rsidP="00607AF8">
      <w:pPr>
        <w:spacing w:after="0" w:line="240" w:lineRule="auto"/>
      </w:pPr>
    </w:p>
    <w:p w:rsidR="00607AF8" w:rsidRDefault="00607AF8" w:rsidP="00607AF8">
      <w:pPr>
        <w:spacing w:after="120" w:line="240" w:lineRule="auto"/>
      </w:pPr>
      <w:proofErr w:type="spellStart"/>
      <w:r w:rsidRPr="00F60B7D">
        <w:rPr>
          <w:b/>
        </w:rPr>
        <w:t>Criterian</w:t>
      </w:r>
      <w:proofErr w:type="spellEnd"/>
      <w:r w:rsidRPr="00F60B7D">
        <w:rPr>
          <w:b/>
        </w:rPr>
        <w:t xml:space="preserve"> for Success:</w:t>
      </w:r>
      <w:r>
        <w:t xml:space="preserve">  70% of Students at 3 or above</w:t>
      </w:r>
    </w:p>
    <w:p w:rsidR="00F02118" w:rsidRPr="00E061B1" w:rsidRDefault="00F02118" w:rsidP="00F021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02118" w:rsidRPr="00B24E7A" w:rsidTr="003F78C1">
        <w:tc>
          <w:tcPr>
            <w:tcW w:w="2517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17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18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18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C74AE9" w:rsidTr="003F78C1">
        <w:tc>
          <w:tcPr>
            <w:tcW w:w="2517" w:type="dxa"/>
          </w:tcPr>
          <w:p w:rsidR="00C74AE9" w:rsidRPr="00B05B18" w:rsidRDefault="00C74AE9" w:rsidP="00C74AE9">
            <w:r>
              <w:t>Fall 2015</w:t>
            </w:r>
          </w:p>
        </w:tc>
        <w:tc>
          <w:tcPr>
            <w:tcW w:w="2517" w:type="dxa"/>
          </w:tcPr>
          <w:p w:rsidR="00C74AE9" w:rsidRPr="00B05B18" w:rsidRDefault="00C74AE9" w:rsidP="00C74AE9">
            <w:r>
              <w:t>13</w:t>
            </w:r>
          </w:p>
        </w:tc>
        <w:tc>
          <w:tcPr>
            <w:tcW w:w="2518" w:type="dxa"/>
          </w:tcPr>
          <w:p w:rsidR="00C74AE9" w:rsidRPr="00B05B18" w:rsidRDefault="00C74AE9" w:rsidP="00C74AE9">
            <w:r>
              <w:t>2.89</w:t>
            </w:r>
          </w:p>
        </w:tc>
        <w:tc>
          <w:tcPr>
            <w:tcW w:w="2518" w:type="dxa"/>
          </w:tcPr>
          <w:p w:rsidR="00C74AE9" w:rsidRPr="00B05B18" w:rsidRDefault="00C74AE9" w:rsidP="00C74AE9">
            <w:r>
              <w:t>74</w:t>
            </w:r>
          </w:p>
        </w:tc>
      </w:tr>
      <w:tr w:rsidR="00C74AE9" w:rsidTr="003F78C1">
        <w:tc>
          <w:tcPr>
            <w:tcW w:w="2517" w:type="dxa"/>
          </w:tcPr>
          <w:p w:rsidR="00C74AE9" w:rsidRPr="00B05B18" w:rsidRDefault="00C74AE9" w:rsidP="00C74AE9">
            <w:r>
              <w:t>Spring 2016</w:t>
            </w:r>
          </w:p>
        </w:tc>
        <w:tc>
          <w:tcPr>
            <w:tcW w:w="2517" w:type="dxa"/>
          </w:tcPr>
          <w:p w:rsidR="00C74AE9" w:rsidRPr="00B05B18" w:rsidRDefault="00C74AE9" w:rsidP="00C74AE9">
            <w:r>
              <w:t>19</w:t>
            </w:r>
          </w:p>
        </w:tc>
        <w:tc>
          <w:tcPr>
            <w:tcW w:w="2518" w:type="dxa"/>
          </w:tcPr>
          <w:p w:rsidR="00C74AE9" w:rsidRPr="00B05B18" w:rsidRDefault="00C74AE9" w:rsidP="00C74AE9">
            <w:r>
              <w:t>3.43</w:t>
            </w:r>
          </w:p>
        </w:tc>
        <w:tc>
          <w:tcPr>
            <w:tcW w:w="2518" w:type="dxa"/>
          </w:tcPr>
          <w:p w:rsidR="00C74AE9" w:rsidRPr="00B05B18" w:rsidRDefault="00C74AE9" w:rsidP="00C74AE9">
            <w:r>
              <w:t>88</w:t>
            </w:r>
          </w:p>
        </w:tc>
      </w:tr>
    </w:tbl>
    <w:p w:rsidR="00F02118" w:rsidRDefault="00F02118" w:rsidP="00F02118">
      <w:pPr>
        <w:spacing w:after="0"/>
        <w:rPr>
          <w:b/>
        </w:rPr>
      </w:pPr>
    </w:p>
    <w:p w:rsidR="00F02118" w:rsidRDefault="00F02118" w:rsidP="00F02118">
      <w:pPr>
        <w:spacing w:after="0"/>
      </w:pPr>
    </w:p>
    <w:p w:rsidR="00F02118" w:rsidRDefault="00F02118" w:rsidP="00F02118">
      <w:pPr>
        <w:spacing w:after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C30CB73" wp14:editId="36F9CD59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118" w:rsidRDefault="00F02118" w:rsidP="00F02118">
      <w:pPr>
        <w:spacing w:after="0"/>
      </w:pPr>
    </w:p>
    <w:p w:rsidR="00F02118" w:rsidRDefault="00F02118" w:rsidP="00F02118">
      <w:pPr>
        <w:spacing w:after="0"/>
      </w:pPr>
      <w:r>
        <w:br w:type="textWrapping" w:clear="all"/>
      </w:r>
    </w:p>
    <w:p w:rsidR="00F02118" w:rsidRDefault="00F02118" w:rsidP="00F02118">
      <w:pPr>
        <w:spacing w:after="0"/>
      </w:pPr>
    </w:p>
    <w:p w:rsidR="00F02118" w:rsidRDefault="00F02118">
      <w:r>
        <w:br w:type="page"/>
      </w: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2829BA" w:rsidP="002829B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Information Literacy: </w:t>
      </w:r>
      <w:r w:rsidRPr="00D27DD2">
        <w:rPr>
          <w:sz w:val="28"/>
          <w:szCs w:val="36"/>
        </w:rPr>
        <w:t>Combined GMGT 5</w:t>
      </w:r>
      <w:r>
        <w:rPr>
          <w:sz w:val="28"/>
          <w:szCs w:val="36"/>
        </w:rPr>
        <w:t>61 and GBUS 574 (Mean)</w:t>
      </w:r>
      <w:r w:rsidR="00033647">
        <w:rPr>
          <w:noProof/>
        </w:rPr>
        <w:drawing>
          <wp:anchor distT="0" distB="0" distL="114300" distR="114300" simplePos="0" relativeHeight="251684864" behindDoc="0" locked="0" layoutInCell="1" allowOverlap="1" wp14:anchorId="64FC1281" wp14:editId="355EC55E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6372225" cy="3248025"/>
            <wp:effectExtent l="0" t="0" r="9525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33647" w:rsidRDefault="00033647" w:rsidP="00F02118">
      <w:pPr>
        <w:spacing w:after="0"/>
        <w:jc w:val="center"/>
        <w:rPr>
          <w:b/>
          <w:sz w:val="36"/>
          <w:szCs w:val="36"/>
        </w:rPr>
      </w:pPr>
    </w:p>
    <w:p w:rsidR="00094778" w:rsidRDefault="00094778" w:rsidP="00F02118">
      <w:pPr>
        <w:spacing w:after="0"/>
        <w:jc w:val="center"/>
        <w:rPr>
          <w:b/>
          <w:sz w:val="36"/>
          <w:szCs w:val="36"/>
        </w:rPr>
      </w:pPr>
    </w:p>
    <w:p w:rsidR="00F02118" w:rsidRPr="00B24E7A" w:rsidRDefault="00F02118" w:rsidP="00F02118">
      <w:pPr>
        <w:spacing w:after="0"/>
        <w:jc w:val="center"/>
        <w:rPr>
          <w:b/>
          <w:sz w:val="36"/>
          <w:szCs w:val="36"/>
        </w:rPr>
      </w:pPr>
      <w:r w:rsidRPr="00B24E7A">
        <w:rPr>
          <w:b/>
          <w:sz w:val="36"/>
          <w:szCs w:val="36"/>
        </w:rPr>
        <w:lastRenderedPageBreak/>
        <w:t>Longitudinal Data</w:t>
      </w:r>
      <w:r w:rsidR="00162556">
        <w:rPr>
          <w:b/>
          <w:sz w:val="36"/>
          <w:szCs w:val="36"/>
        </w:rPr>
        <w:t xml:space="preserve">: </w:t>
      </w:r>
      <w:r w:rsidR="00E061B1">
        <w:rPr>
          <w:b/>
          <w:sz w:val="36"/>
          <w:szCs w:val="36"/>
        </w:rPr>
        <w:t>Global Perspectives</w:t>
      </w:r>
    </w:p>
    <w:p w:rsidR="00F02118" w:rsidRDefault="00F02118" w:rsidP="00F02118">
      <w:pPr>
        <w:spacing w:after="120" w:line="240" w:lineRule="auto"/>
        <w:jc w:val="center"/>
        <w:rPr>
          <w:b/>
        </w:rPr>
      </w:pPr>
    </w:p>
    <w:p w:rsidR="00F02118" w:rsidRDefault="00F02118" w:rsidP="00F02118">
      <w:pPr>
        <w:spacing w:after="0"/>
        <w:rPr>
          <w:b/>
        </w:rPr>
      </w:pPr>
      <w:r>
        <w:rPr>
          <w:b/>
        </w:rPr>
        <w:t xml:space="preserve">Outcome: </w:t>
      </w:r>
      <w:r w:rsidRPr="00097C20">
        <w:t>Global Perspectives</w:t>
      </w:r>
    </w:p>
    <w:p w:rsidR="00E061B1" w:rsidRDefault="00E061B1" w:rsidP="00F02118">
      <w:pPr>
        <w:spacing w:after="0"/>
        <w:rPr>
          <w:b/>
        </w:rPr>
      </w:pPr>
    </w:p>
    <w:p w:rsidR="00097C20" w:rsidRPr="008C055D" w:rsidRDefault="008C055D" w:rsidP="00F02118">
      <w:pPr>
        <w:spacing w:after="0"/>
        <w:rPr>
          <w:u w:val="single"/>
        </w:rPr>
      </w:pPr>
      <w:r>
        <w:rPr>
          <w:b/>
        </w:rPr>
        <w:t>Internal, Direct, Summative Measure</w:t>
      </w:r>
      <w:r w:rsidR="00E061B1">
        <w:rPr>
          <w:b/>
        </w:rPr>
        <w:t>:</w:t>
      </w:r>
      <w:r w:rsidR="00E061B1" w:rsidRPr="00E061B1">
        <w:t xml:space="preserve"> </w:t>
      </w:r>
      <w:r w:rsidR="00033647">
        <w:t>GMGT 561</w:t>
      </w:r>
      <w:r>
        <w:t xml:space="preserve"> Report at the </w:t>
      </w:r>
      <w:r w:rsidRPr="008C055D">
        <w:rPr>
          <w:u w:val="single"/>
        </w:rPr>
        <w:t>Mastery Level</w:t>
      </w:r>
    </w:p>
    <w:p w:rsidR="00097C20" w:rsidRDefault="00097C20" w:rsidP="00F02118">
      <w:pPr>
        <w:spacing w:after="0"/>
      </w:pPr>
    </w:p>
    <w:p w:rsidR="00E061B1" w:rsidRDefault="00E061B1" w:rsidP="00F02118">
      <w:pPr>
        <w:spacing w:after="0"/>
      </w:pPr>
      <w:r w:rsidRPr="00097C20">
        <w:rPr>
          <w:b/>
        </w:rPr>
        <w:t>Rubric</w:t>
      </w:r>
      <w:r w:rsidR="00097C20">
        <w:rPr>
          <w:b/>
        </w:rPr>
        <w:t xml:space="preserve">: </w:t>
      </w:r>
      <w:r w:rsidR="008C055D">
        <w:t>AACU (Adapted)</w:t>
      </w:r>
      <w:r w:rsidR="00033647" w:rsidRPr="00033647">
        <w:t xml:space="preserve"> – Global Perspectives</w:t>
      </w:r>
    </w:p>
    <w:p w:rsidR="008C055D" w:rsidRDefault="008C055D" w:rsidP="00F02118">
      <w:pPr>
        <w:spacing w:after="0"/>
      </w:pPr>
    </w:p>
    <w:p w:rsidR="008C055D" w:rsidRDefault="008C055D" w:rsidP="008C055D">
      <w:pPr>
        <w:spacing w:after="120" w:line="240" w:lineRule="auto"/>
      </w:pPr>
      <w:proofErr w:type="spellStart"/>
      <w:r w:rsidRPr="00F60B7D">
        <w:rPr>
          <w:b/>
        </w:rPr>
        <w:t>Criterian</w:t>
      </w:r>
      <w:proofErr w:type="spellEnd"/>
      <w:r w:rsidRPr="00F60B7D">
        <w:rPr>
          <w:b/>
        </w:rPr>
        <w:t xml:space="preserve"> for Success:</w:t>
      </w:r>
      <w:r>
        <w:t xml:space="preserve">  70% of Students at 3 or above</w:t>
      </w:r>
    </w:p>
    <w:p w:rsidR="00E061B1" w:rsidRPr="00E061B1" w:rsidRDefault="00E061B1" w:rsidP="00F02118">
      <w:pPr>
        <w:spacing w:after="0"/>
      </w:pPr>
    </w:p>
    <w:p w:rsidR="00E061B1" w:rsidRDefault="00E061B1" w:rsidP="00F0211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F02118" w:rsidRPr="00B24E7A" w:rsidTr="003F78C1">
        <w:tc>
          <w:tcPr>
            <w:tcW w:w="2517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 xml:space="preserve">Academic </w:t>
            </w:r>
            <w:r>
              <w:rPr>
                <w:b/>
              </w:rPr>
              <w:t>Term/</w:t>
            </w:r>
            <w:r w:rsidRPr="00B24E7A">
              <w:rPr>
                <w:b/>
              </w:rPr>
              <w:t>Year</w:t>
            </w:r>
          </w:p>
        </w:tc>
        <w:tc>
          <w:tcPr>
            <w:tcW w:w="2517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Student Count</w:t>
            </w:r>
          </w:p>
        </w:tc>
        <w:tc>
          <w:tcPr>
            <w:tcW w:w="2518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Mean</w:t>
            </w:r>
          </w:p>
        </w:tc>
        <w:tc>
          <w:tcPr>
            <w:tcW w:w="2518" w:type="dxa"/>
          </w:tcPr>
          <w:p w:rsidR="00F02118" w:rsidRPr="00B24E7A" w:rsidRDefault="00F02118" w:rsidP="003F78C1">
            <w:pPr>
              <w:jc w:val="center"/>
              <w:rPr>
                <w:b/>
              </w:rPr>
            </w:pPr>
            <w:r w:rsidRPr="00B24E7A">
              <w:rPr>
                <w:b/>
              </w:rPr>
              <w:t>% of students at 3 or above</w:t>
            </w:r>
          </w:p>
        </w:tc>
      </w:tr>
      <w:tr w:rsidR="00F02118" w:rsidTr="003F78C1">
        <w:tc>
          <w:tcPr>
            <w:tcW w:w="2517" w:type="dxa"/>
          </w:tcPr>
          <w:p w:rsidR="00F02118" w:rsidRPr="00B05B18" w:rsidRDefault="00CA67DD" w:rsidP="003F78C1">
            <w:r>
              <w:t>Fall 2015</w:t>
            </w:r>
          </w:p>
        </w:tc>
        <w:tc>
          <w:tcPr>
            <w:tcW w:w="2517" w:type="dxa"/>
          </w:tcPr>
          <w:p w:rsidR="00F02118" w:rsidRPr="00B05B18" w:rsidRDefault="006A6CB2" w:rsidP="003F78C1">
            <w:r>
              <w:t>13</w:t>
            </w:r>
          </w:p>
        </w:tc>
        <w:tc>
          <w:tcPr>
            <w:tcW w:w="2518" w:type="dxa"/>
          </w:tcPr>
          <w:p w:rsidR="00F02118" w:rsidRPr="00B05B18" w:rsidRDefault="006A6CB2" w:rsidP="003F78C1">
            <w:r>
              <w:t>3.13</w:t>
            </w:r>
          </w:p>
        </w:tc>
        <w:tc>
          <w:tcPr>
            <w:tcW w:w="2518" w:type="dxa"/>
          </w:tcPr>
          <w:p w:rsidR="00F02118" w:rsidRPr="00B05B18" w:rsidRDefault="006A6CB2" w:rsidP="003F78C1">
            <w:r>
              <w:t>91</w:t>
            </w:r>
          </w:p>
        </w:tc>
      </w:tr>
      <w:tr w:rsidR="00F02118" w:rsidTr="003F78C1">
        <w:tc>
          <w:tcPr>
            <w:tcW w:w="2517" w:type="dxa"/>
          </w:tcPr>
          <w:p w:rsidR="00F02118" w:rsidRPr="00B05B18" w:rsidRDefault="00883253" w:rsidP="003F78C1">
            <w:r>
              <w:t>Spring 2016</w:t>
            </w:r>
          </w:p>
        </w:tc>
        <w:tc>
          <w:tcPr>
            <w:tcW w:w="2517" w:type="dxa"/>
          </w:tcPr>
          <w:p w:rsidR="00F02118" w:rsidRPr="00B05B18" w:rsidRDefault="00883253" w:rsidP="003F78C1">
            <w:r>
              <w:t>19</w:t>
            </w:r>
          </w:p>
        </w:tc>
        <w:tc>
          <w:tcPr>
            <w:tcW w:w="2518" w:type="dxa"/>
          </w:tcPr>
          <w:p w:rsidR="00F02118" w:rsidRPr="00B05B18" w:rsidRDefault="00883253" w:rsidP="003F78C1">
            <w:r>
              <w:t>3.50</w:t>
            </w:r>
          </w:p>
        </w:tc>
        <w:tc>
          <w:tcPr>
            <w:tcW w:w="2518" w:type="dxa"/>
          </w:tcPr>
          <w:p w:rsidR="00F02118" w:rsidRPr="00B05B18" w:rsidRDefault="00883253" w:rsidP="003F78C1">
            <w:r>
              <w:t>100</w:t>
            </w:r>
          </w:p>
        </w:tc>
      </w:tr>
      <w:tr w:rsidR="00F02118" w:rsidTr="003F78C1">
        <w:tc>
          <w:tcPr>
            <w:tcW w:w="2517" w:type="dxa"/>
          </w:tcPr>
          <w:p w:rsidR="00F02118" w:rsidRPr="00B05B18" w:rsidRDefault="00F02118" w:rsidP="003F78C1"/>
        </w:tc>
        <w:tc>
          <w:tcPr>
            <w:tcW w:w="2517" w:type="dxa"/>
          </w:tcPr>
          <w:p w:rsidR="00F02118" w:rsidRPr="00B05B18" w:rsidRDefault="00F02118" w:rsidP="003F78C1"/>
        </w:tc>
        <w:tc>
          <w:tcPr>
            <w:tcW w:w="2518" w:type="dxa"/>
          </w:tcPr>
          <w:p w:rsidR="00F02118" w:rsidRPr="00B05B18" w:rsidRDefault="00F02118" w:rsidP="003F78C1"/>
        </w:tc>
        <w:tc>
          <w:tcPr>
            <w:tcW w:w="2518" w:type="dxa"/>
          </w:tcPr>
          <w:p w:rsidR="00F02118" w:rsidRPr="00B05B18" w:rsidRDefault="00F02118" w:rsidP="003F78C1"/>
        </w:tc>
      </w:tr>
    </w:tbl>
    <w:p w:rsidR="00F02118" w:rsidRDefault="00F02118" w:rsidP="00F02118">
      <w:pPr>
        <w:spacing w:after="0"/>
        <w:rPr>
          <w:b/>
        </w:rPr>
      </w:pPr>
    </w:p>
    <w:p w:rsidR="00F02118" w:rsidRDefault="00F02118" w:rsidP="00F02118">
      <w:pPr>
        <w:spacing w:after="0"/>
      </w:pPr>
    </w:p>
    <w:p w:rsidR="00F02118" w:rsidRDefault="00F02118" w:rsidP="00F02118">
      <w:pPr>
        <w:spacing w:after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C30CB73" wp14:editId="36F9CD59">
            <wp:simplePos x="0" y="0"/>
            <wp:positionH relativeFrom="column">
              <wp:posOffset>-635</wp:posOffset>
            </wp:positionH>
            <wp:positionV relativeFrom="paragraph">
              <wp:posOffset>319405</wp:posOffset>
            </wp:positionV>
            <wp:extent cx="6372225" cy="3248025"/>
            <wp:effectExtent l="0" t="0" r="9525" b="9525"/>
            <wp:wrapSquare wrapText="bothSides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118" w:rsidRDefault="00F02118" w:rsidP="00F02118">
      <w:pPr>
        <w:spacing w:after="0"/>
      </w:pPr>
    </w:p>
    <w:p w:rsidR="00F02118" w:rsidRDefault="00F02118" w:rsidP="00F02118">
      <w:pPr>
        <w:spacing w:after="0"/>
      </w:pPr>
      <w:r>
        <w:br w:type="textWrapping" w:clear="all"/>
      </w:r>
    </w:p>
    <w:p w:rsidR="00F02118" w:rsidRDefault="00F02118" w:rsidP="00F02118">
      <w:pPr>
        <w:spacing w:after="0"/>
      </w:pPr>
    </w:p>
    <w:p w:rsidR="00656782" w:rsidRDefault="00656782" w:rsidP="004123E8"/>
    <w:sectPr w:rsidR="00656782" w:rsidSect="009E493C">
      <w:footerReference w:type="default" r:id="rId1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F6" w:rsidRDefault="00192BF6" w:rsidP="00DF2891">
      <w:pPr>
        <w:spacing w:after="0" w:line="240" w:lineRule="auto"/>
      </w:pPr>
      <w:r>
        <w:separator/>
      </w:r>
    </w:p>
  </w:endnote>
  <w:endnote w:type="continuationSeparator" w:id="0">
    <w:p w:rsidR="00192BF6" w:rsidRDefault="00192BF6" w:rsidP="00DF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891" w:rsidRDefault="00DF2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F6" w:rsidRDefault="00192BF6" w:rsidP="00DF2891">
      <w:pPr>
        <w:spacing w:after="0" w:line="240" w:lineRule="auto"/>
      </w:pPr>
      <w:r>
        <w:separator/>
      </w:r>
    </w:p>
  </w:footnote>
  <w:footnote w:type="continuationSeparator" w:id="0">
    <w:p w:rsidR="00192BF6" w:rsidRDefault="00192BF6" w:rsidP="00DF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179A"/>
    <w:multiLevelType w:val="hybridMultilevel"/>
    <w:tmpl w:val="132CF2D0"/>
    <w:lvl w:ilvl="0" w:tplc="E6246EF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 w15:restartNumberingAfterBreak="0">
    <w:nsid w:val="1BB3600B"/>
    <w:multiLevelType w:val="hybridMultilevel"/>
    <w:tmpl w:val="8C0AB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90513"/>
    <w:multiLevelType w:val="hybridMultilevel"/>
    <w:tmpl w:val="B644E8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52F2"/>
    <w:multiLevelType w:val="hybridMultilevel"/>
    <w:tmpl w:val="D6FC2C58"/>
    <w:lvl w:ilvl="0" w:tplc="B518CD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83E46"/>
    <w:multiLevelType w:val="hybridMultilevel"/>
    <w:tmpl w:val="7A08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B7C87"/>
    <w:multiLevelType w:val="hybridMultilevel"/>
    <w:tmpl w:val="AC327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92"/>
    <w:rsid w:val="00033647"/>
    <w:rsid w:val="000712B5"/>
    <w:rsid w:val="000725DE"/>
    <w:rsid w:val="00094227"/>
    <w:rsid w:val="00094778"/>
    <w:rsid w:val="00097C20"/>
    <w:rsid w:val="000A61AE"/>
    <w:rsid w:val="000D2F95"/>
    <w:rsid w:val="000D5D39"/>
    <w:rsid w:val="001058C4"/>
    <w:rsid w:val="001257D4"/>
    <w:rsid w:val="00162556"/>
    <w:rsid w:val="00164855"/>
    <w:rsid w:val="00165EDC"/>
    <w:rsid w:val="001830A9"/>
    <w:rsid w:val="00184B5A"/>
    <w:rsid w:val="00192BF6"/>
    <w:rsid w:val="001B5B09"/>
    <w:rsid w:val="001C64BF"/>
    <w:rsid w:val="001C70F5"/>
    <w:rsid w:val="001F5B2C"/>
    <w:rsid w:val="00205CA6"/>
    <w:rsid w:val="0021387B"/>
    <w:rsid w:val="00226928"/>
    <w:rsid w:val="00237E9D"/>
    <w:rsid w:val="0024008D"/>
    <w:rsid w:val="00267F43"/>
    <w:rsid w:val="00275856"/>
    <w:rsid w:val="00282959"/>
    <w:rsid w:val="002829BA"/>
    <w:rsid w:val="002B31B9"/>
    <w:rsid w:val="002B6ACA"/>
    <w:rsid w:val="002C65E5"/>
    <w:rsid w:val="002D3F5D"/>
    <w:rsid w:val="002D54B8"/>
    <w:rsid w:val="002D60D9"/>
    <w:rsid w:val="002F323C"/>
    <w:rsid w:val="00354BB6"/>
    <w:rsid w:val="0039259B"/>
    <w:rsid w:val="003D2492"/>
    <w:rsid w:val="003E4C06"/>
    <w:rsid w:val="003F6BF2"/>
    <w:rsid w:val="004123E8"/>
    <w:rsid w:val="004515E3"/>
    <w:rsid w:val="004615D6"/>
    <w:rsid w:val="00462685"/>
    <w:rsid w:val="004A173E"/>
    <w:rsid w:val="004A6CC2"/>
    <w:rsid w:val="004B0FC8"/>
    <w:rsid w:val="004F3C4D"/>
    <w:rsid w:val="00542208"/>
    <w:rsid w:val="005A5D4B"/>
    <w:rsid w:val="005E4338"/>
    <w:rsid w:val="0060555D"/>
    <w:rsid w:val="006057B4"/>
    <w:rsid w:val="00607AF8"/>
    <w:rsid w:val="00656782"/>
    <w:rsid w:val="006A6CB2"/>
    <w:rsid w:val="006C0A79"/>
    <w:rsid w:val="006C7E75"/>
    <w:rsid w:val="006E089B"/>
    <w:rsid w:val="00763D93"/>
    <w:rsid w:val="00781FE2"/>
    <w:rsid w:val="00793983"/>
    <w:rsid w:val="00861267"/>
    <w:rsid w:val="00877C9E"/>
    <w:rsid w:val="00883253"/>
    <w:rsid w:val="00895196"/>
    <w:rsid w:val="008C055D"/>
    <w:rsid w:val="008C0C09"/>
    <w:rsid w:val="008C71BB"/>
    <w:rsid w:val="00900FB9"/>
    <w:rsid w:val="00907632"/>
    <w:rsid w:val="00907915"/>
    <w:rsid w:val="00946510"/>
    <w:rsid w:val="00971416"/>
    <w:rsid w:val="009D16A7"/>
    <w:rsid w:val="009E493C"/>
    <w:rsid w:val="00A60C07"/>
    <w:rsid w:val="00AC6DF3"/>
    <w:rsid w:val="00AE6074"/>
    <w:rsid w:val="00BD7CB1"/>
    <w:rsid w:val="00BF402B"/>
    <w:rsid w:val="00C016A4"/>
    <w:rsid w:val="00C74AE9"/>
    <w:rsid w:val="00C7769D"/>
    <w:rsid w:val="00CA5812"/>
    <w:rsid w:val="00CA67DD"/>
    <w:rsid w:val="00CF731A"/>
    <w:rsid w:val="00D27DD2"/>
    <w:rsid w:val="00D95C8E"/>
    <w:rsid w:val="00D97FD1"/>
    <w:rsid w:val="00DA16D4"/>
    <w:rsid w:val="00DD3B09"/>
    <w:rsid w:val="00DF2891"/>
    <w:rsid w:val="00E061B1"/>
    <w:rsid w:val="00E15553"/>
    <w:rsid w:val="00E16D75"/>
    <w:rsid w:val="00E26156"/>
    <w:rsid w:val="00E3461C"/>
    <w:rsid w:val="00E34CEE"/>
    <w:rsid w:val="00E55924"/>
    <w:rsid w:val="00E63576"/>
    <w:rsid w:val="00EA3E0B"/>
    <w:rsid w:val="00F02118"/>
    <w:rsid w:val="00F04924"/>
    <w:rsid w:val="00F60B7D"/>
    <w:rsid w:val="00F75F58"/>
    <w:rsid w:val="00F94BE7"/>
    <w:rsid w:val="00FB11AF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9DD65-CC9D-459A-AB03-48624D98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91"/>
  </w:style>
  <w:style w:type="paragraph" w:styleId="Footer">
    <w:name w:val="footer"/>
    <w:basedOn w:val="Normal"/>
    <w:link w:val="FooterChar"/>
    <w:uiPriority w:val="99"/>
    <w:unhideWhenUsed/>
    <w:rsid w:val="00DF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91"/>
  </w:style>
  <w:style w:type="paragraph" w:styleId="BalloonText">
    <w:name w:val="Balloon Text"/>
    <w:basedOn w:val="Normal"/>
    <w:link w:val="BalloonTextChar"/>
    <w:uiPriority w:val="99"/>
    <w:semiHidden/>
    <w:unhideWhenUsed/>
    <w:rsid w:val="00E3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Oral Communication: </a:t>
            </a:r>
            <a:r>
              <a:rPr lang="en-US" sz="1400" b="0" baseline="0"/>
              <a:t>GBUS 574 (Mean)  </a:t>
            </a:r>
            <a:endParaRPr lang="en-US" sz="18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Fall 2015</c:v>
                </c:pt>
                <c:pt idx="1">
                  <c:v>Fall 2016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3.05</c:v>
                </c:pt>
                <c:pt idx="1">
                  <c:v>3.34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9-4805-B036-CE57442AE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192640"/>
        <c:axId val="42500480"/>
      </c:barChart>
      <c:catAx>
        <c:axId val="10419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00480"/>
        <c:crosses val="autoZero"/>
        <c:auto val="1"/>
        <c:lblAlgn val="ctr"/>
        <c:lblOffset val="100"/>
        <c:noMultiLvlLbl val="0"/>
      </c:catAx>
      <c:valAx>
        <c:axId val="42500480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19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Written Communication</a:t>
            </a:r>
            <a:r>
              <a:rPr lang="en-US" sz="2000" b="1" baseline="0"/>
              <a:t>: </a:t>
            </a:r>
            <a:r>
              <a:rPr lang="en-US" sz="1400" b="0" baseline="0"/>
              <a:t>GMGT 585 (Mean)</a:t>
            </a:r>
            <a:endParaRPr lang="en-US" sz="20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3.31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A5-441B-8F49-5C393587E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801024"/>
        <c:axId val="104802560"/>
      </c:barChart>
      <c:catAx>
        <c:axId val="104801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02560"/>
        <c:crosses val="autoZero"/>
        <c:auto val="1"/>
        <c:lblAlgn val="ctr"/>
        <c:lblOffset val="100"/>
        <c:noMultiLvlLbl val="0"/>
      </c:catAx>
      <c:valAx>
        <c:axId val="104802560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01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Written Communication: </a:t>
            </a:r>
            <a:r>
              <a:rPr lang="en-US" sz="1400" b="0" baseline="0"/>
              <a:t>GMGT 561 (Mean) </a:t>
            </a:r>
            <a:endParaRPr lang="en-US" sz="18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2"/>
                <c:pt idx="0">
                  <c:v>Fall 2015</c:v>
                </c:pt>
                <c:pt idx="1">
                  <c:v>Spring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3.37</c:v>
                </c:pt>
                <c:pt idx="1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8E-469F-84C9-629E2BA6C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4823040"/>
        <c:axId val="104833024"/>
      </c:barChart>
      <c:catAx>
        <c:axId val="10482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33024"/>
        <c:crosses val="autoZero"/>
        <c:auto val="1"/>
        <c:lblAlgn val="ctr"/>
        <c:lblOffset val="100"/>
        <c:noMultiLvlLbl val="0"/>
      </c:catAx>
      <c:valAx>
        <c:axId val="104833024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482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GMGT 585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3.37</c:v>
                </c:pt>
                <c:pt idx="1">
                  <c:v>3.17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8-43D2-BA1F-9C52FF09BB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GMGT 561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 formatCode="0.00">
                  <c:v>3</c:v>
                </c:pt>
                <c:pt idx="1">
                  <c:v>3.31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9B-4B4D-B105-E3110F5101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8"/>
        <c:axId val="106599552"/>
        <c:axId val="106601088"/>
      </c:barChart>
      <c:catAx>
        <c:axId val="10659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01088"/>
        <c:crosses val="autoZero"/>
        <c:auto val="1"/>
        <c:lblAlgn val="ctr"/>
        <c:lblOffset val="100"/>
        <c:noMultiLvlLbl val="0"/>
      </c:catAx>
      <c:valAx>
        <c:axId val="10660108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599552"/>
        <c:crosses val="autoZero"/>
        <c:crossBetween val="between"/>
      </c:valAx>
      <c:spPr>
        <a:noFill/>
        <a:ln>
          <a:solidFill>
            <a:sysClr val="windowText" lastClr="000000">
              <a:lumMod val="15000"/>
              <a:lumOff val="85000"/>
            </a:sysClr>
          </a:solidFill>
          <a:round/>
        </a:ln>
        <a:effectLst>
          <a:softEdge rad="0"/>
        </a:effectLst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Summary Section: </a:t>
            </a:r>
            <a:r>
              <a:rPr lang="en-US" sz="1400" b="0" baseline="0"/>
              <a:t>Critical Thinking</a:t>
            </a:r>
            <a:endParaRPr lang="en-US" sz="20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Fall 2015</c:v>
                </c:pt>
                <c:pt idx="1">
                  <c:v>Spring 2016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3.41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3B-47B5-94F7-867D7CD60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642048"/>
        <c:axId val="106647936"/>
      </c:barChart>
      <c:catAx>
        <c:axId val="106642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47936"/>
        <c:crosses val="autoZero"/>
        <c:auto val="1"/>
        <c:lblAlgn val="ctr"/>
        <c:lblOffset val="100"/>
        <c:noMultiLvlLbl val="0"/>
      </c:catAx>
      <c:valAx>
        <c:axId val="1066479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42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Information Liteacy: </a:t>
            </a:r>
            <a:r>
              <a:rPr lang="en-US" sz="1400" b="0" baseline="0"/>
              <a:t>GBUS 574 Final Exam (Mean)</a:t>
            </a:r>
            <a:endParaRPr lang="en-US" sz="18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Fall 2015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8C-4609-A6F6-A60E8E1290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689280"/>
        <c:axId val="106690816"/>
      </c:barChart>
      <c:catAx>
        <c:axId val="106689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90816"/>
        <c:crosses val="autoZero"/>
        <c:auto val="1"/>
        <c:lblAlgn val="ctr"/>
        <c:lblOffset val="100"/>
        <c:noMultiLvlLbl val="0"/>
      </c:catAx>
      <c:valAx>
        <c:axId val="10669081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689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Information Literacy: </a:t>
            </a:r>
            <a:r>
              <a:rPr lang="en-US" sz="1400" b="0" baseline="0"/>
              <a:t>GMGT 561 (Mean)</a:t>
            </a:r>
            <a:endParaRPr lang="en-US" sz="18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2"/>
                <c:pt idx="0">
                  <c:v>Fall 2015</c:v>
                </c:pt>
                <c:pt idx="1">
                  <c:v>Spring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2.89</c:v>
                </c:pt>
                <c:pt idx="1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5-406F-A93F-D857E1326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277120"/>
        <c:axId val="106278912"/>
      </c:barChart>
      <c:catAx>
        <c:axId val="106277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278912"/>
        <c:crosses val="autoZero"/>
        <c:auto val="1"/>
        <c:lblAlgn val="ctr"/>
        <c:lblOffset val="100"/>
        <c:noMultiLvlLbl val="0"/>
      </c:catAx>
      <c:valAx>
        <c:axId val="10627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277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GMGT 561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2.89</c:v>
                </c:pt>
                <c:pt idx="1">
                  <c:v>3.43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DC-4A6F-BA88-F1CA67EFA0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GBUS 574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Fall 2015</c:v>
                </c:pt>
                <c:pt idx="1">
                  <c:v>Spring 2016</c:v>
                </c:pt>
                <c:pt idx="2">
                  <c:v>Fall 2016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FA-4BF2-9A4D-D1972EA8EB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06332928"/>
        <c:axId val="106334464"/>
      </c:barChart>
      <c:catAx>
        <c:axId val="1063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34464"/>
        <c:crosses val="autoZero"/>
        <c:auto val="1"/>
        <c:lblAlgn val="ctr"/>
        <c:lblOffset val="100"/>
        <c:noMultiLvlLbl val="0"/>
      </c:catAx>
      <c:valAx>
        <c:axId val="10633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3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baseline="0"/>
              <a:t> Global Perspectives: </a:t>
            </a:r>
            <a:r>
              <a:rPr lang="en-US" sz="1400" b="0" baseline="0"/>
              <a:t>GBUS 561 (Mean)</a:t>
            </a:r>
            <a:endParaRPr lang="en-US" sz="1800" b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2"/>
                <c:pt idx="0">
                  <c:v>Fall 2015</c:v>
                </c:pt>
                <c:pt idx="1">
                  <c:v>Spring 2016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3.13</c:v>
                </c:pt>
                <c:pt idx="1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99-4430-9268-69BA27A0A1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95904"/>
        <c:axId val="106397696"/>
      </c:barChart>
      <c:catAx>
        <c:axId val="10639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97696"/>
        <c:crosses val="autoZero"/>
        <c:auto val="1"/>
        <c:lblAlgn val="ctr"/>
        <c:lblOffset val="100"/>
        <c:noMultiLvlLbl val="0"/>
      </c:catAx>
      <c:valAx>
        <c:axId val="10639769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395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42ED-5867-4FE0-B9FE-FDFA95B0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Oral Roberts University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Ellis</dc:creator>
  <cp:lastModifiedBy>Oluwatosin Noiki</cp:lastModifiedBy>
  <cp:revision>2</cp:revision>
  <cp:lastPrinted>2016-12-13T19:33:00Z</cp:lastPrinted>
  <dcterms:created xsi:type="dcterms:W3CDTF">2017-07-12T02:03:00Z</dcterms:created>
  <dcterms:modified xsi:type="dcterms:W3CDTF">2017-07-12T02:03:00Z</dcterms:modified>
</cp:coreProperties>
</file>