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4C" w:rsidRDefault="00EC2D57" w:rsidP="0088244C">
      <w:pPr>
        <w:jc w:val="center"/>
        <w:rPr>
          <w:b/>
        </w:rPr>
      </w:pPr>
      <w:r>
        <w:rPr>
          <w:b/>
        </w:rPr>
        <w:t>Assessment Report</w:t>
      </w:r>
      <w:r w:rsidR="0088244C" w:rsidRPr="0088244C">
        <w:rPr>
          <w:b/>
        </w:rPr>
        <w:t xml:space="preserve"> Template </w:t>
      </w:r>
    </w:p>
    <w:p w:rsidR="00357D27" w:rsidRDefault="00357D27" w:rsidP="0088244C">
      <w:pPr>
        <w:jc w:val="center"/>
        <w:rPr>
          <w:b/>
        </w:rPr>
      </w:pPr>
      <w:r>
        <w:rPr>
          <w:b/>
        </w:rPr>
        <w:t xml:space="preserve">Submitted by </w:t>
      </w:r>
      <w:r w:rsidR="0025101D">
        <w:rPr>
          <w:b/>
        </w:rPr>
        <w:t>Marshal H. Wright</w:t>
      </w:r>
    </w:p>
    <w:p w:rsidR="00CD0F73" w:rsidRPr="0088244C" w:rsidRDefault="00D64B37" w:rsidP="0088244C">
      <w:pPr>
        <w:jc w:val="center"/>
        <w:rPr>
          <w:b/>
        </w:rPr>
      </w:pPr>
      <w:r>
        <w:rPr>
          <w:b/>
        </w:rPr>
        <w:t>4.28.2017</w:t>
      </w:r>
    </w:p>
    <w:p w:rsidR="0088244C" w:rsidRDefault="0088244C" w:rsidP="0088244C"/>
    <w:p w:rsidR="008165A0" w:rsidRDefault="008165A0" w:rsidP="0088244C"/>
    <w:p w:rsidR="0088244C" w:rsidRPr="00985D97" w:rsidRDefault="0088244C" w:rsidP="0088244C">
      <w:r w:rsidRPr="00357D27">
        <w:rPr>
          <w:b/>
        </w:rPr>
        <w:t>Learning Outcome:</w:t>
      </w:r>
      <w:r w:rsidR="00B22759" w:rsidRPr="00357D27">
        <w:rPr>
          <w:b/>
        </w:rPr>
        <w:t xml:space="preserve"> </w:t>
      </w:r>
      <w:r w:rsidR="00985D97">
        <w:t>Business Knowledge and Application</w:t>
      </w:r>
    </w:p>
    <w:p w:rsidR="0088244C" w:rsidRPr="00357D27" w:rsidRDefault="0088244C" w:rsidP="0088244C"/>
    <w:p w:rsidR="00476C81" w:rsidRDefault="00252610" w:rsidP="0088244C">
      <w:pPr>
        <w:rPr>
          <w:b/>
        </w:rPr>
      </w:pPr>
      <w:r>
        <w:rPr>
          <w:b/>
        </w:rPr>
        <w:t xml:space="preserve">External, </w:t>
      </w:r>
      <w:bookmarkStart w:id="0" w:name="_GoBack"/>
      <w:bookmarkEnd w:id="0"/>
      <w:r>
        <w:rPr>
          <w:b/>
        </w:rPr>
        <w:t xml:space="preserve">Direct, Summative </w:t>
      </w:r>
      <w:r w:rsidR="0088244C" w:rsidRPr="00357D27">
        <w:rPr>
          <w:b/>
        </w:rPr>
        <w:t>Measure:</w:t>
      </w:r>
      <w:r w:rsidR="00474C7B" w:rsidRPr="00357D27">
        <w:rPr>
          <w:b/>
        </w:rPr>
        <w:t xml:space="preserve"> </w:t>
      </w:r>
      <w:r w:rsidR="00476C81">
        <w:rPr>
          <w:b/>
        </w:rPr>
        <w:t xml:space="preserve"> ETS MFT</w:t>
      </w:r>
    </w:p>
    <w:p w:rsidR="0088244C" w:rsidRDefault="00476C81" w:rsidP="0088244C">
      <w:r w:rsidRPr="00476C81">
        <w:t xml:space="preserve">The </w:t>
      </w:r>
      <w:r w:rsidR="00CD0F73" w:rsidRPr="00476C81">
        <w:t>Educational Testing Service (ETS) Major Field Test (MFT)</w:t>
      </w:r>
      <w:r w:rsidR="0025101D">
        <w:rPr>
          <w:color w:val="FF0000"/>
        </w:rPr>
        <w:t xml:space="preserve"> </w:t>
      </w:r>
      <w:r w:rsidR="0025101D" w:rsidRPr="00985D97">
        <w:t>for the MBA</w:t>
      </w:r>
      <w:r w:rsidR="00CD0F73" w:rsidRPr="00985D97">
        <w:t xml:space="preserve"> </w:t>
      </w:r>
      <w:r w:rsidR="00CD0F73" w:rsidRPr="00476C81">
        <w:t>in business</w:t>
      </w:r>
      <w:r w:rsidRPr="00476C81">
        <w:t xml:space="preserve"> </w:t>
      </w:r>
      <w:r w:rsidR="00CD0F73" w:rsidRPr="00476C81">
        <w:t>is a</w:t>
      </w:r>
      <w:r w:rsidR="00CD0F73">
        <w:t xml:space="preserve"> standardized, nationally normed comprehensive exam for knowledge in business.</w:t>
      </w:r>
      <w:r w:rsidR="00625DDA">
        <w:t xml:space="preserve"> There is a comprehensive (total) score and disciplinary (sub) scores in the following areas:</w:t>
      </w:r>
    </w:p>
    <w:p w:rsidR="00625DDA" w:rsidRDefault="00625DDA" w:rsidP="0025101D">
      <w:pPr>
        <w:pStyle w:val="ListParagraph"/>
        <w:numPr>
          <w:ilvl w:val="0"/>
          <w:numId w:val="3"/>
        </w:numPr>
      </w:pPr>
      <w:r>
        <w:t>Accounting</w:t>
      </w:r>
    </w:p>
    <w:p w:rsidR="00625DDA" w:rsidRDefault="00625DDA" w:rsidP="0025101D">
      <w:pPr>
        <w:pStyle w:val="ListParagraph"/>
        <w:numPr>
          <w:ilvl w:val="0"/>
          <w:numId w:val="3"/>
        </w:numPr>
      </w:pPr>
      <w:r>
        <w:t>Management</w:t>
      </w:r>
    </w:p>
    <w:p w:rsidR="00625DDA" w:rsidRDefault="00625DDA" w:rsidP="00625DDA">
      <w:pPr>
        <w:pStyle w:val="ListParagraph"/>
        <w:numPr>
          <w:ilvl w:val="0"/>
          <w:numId w:val="3"/>
        </w:numPr>
      </w:pPr>
      <w:r>
        <w:t>Finance</w:t>
      </w:r>
    </w:p>
    <w:p w:rsidR="00625DDA" w:rsidRDefault="00625DDA" w:rsidP="00625DDA">
      <w:pPr>
        <w:pStyle w:val="ListParagraph"/>
        <w:numPr>
          <w:ilvl w:val="0"/>
          <w:numId w:val="3"/>
        </w:numPr>
      </w:pPr>
      <w:r>
        <w:t>Marketing</w:t>
      </w:r>
    </w:p>
    <w:p w:rsidR="00625DDA" w:rsidRDefault="0025101D" w:rsidP="00625DDA">
      <w:pPr>
        <w:pStyle w:val="ListParagraph"/>
        <w:numPr>
          <w:ilvl w:val="0"/>
          <w:numId w:val="3"/>
        </w:numPr>
      </w:pPr>
      <w:r>
        <w:t>Strategic Integration</w:t>
      </w:r>
    </w:p>
    <w:p w:rsidR="0088244C" w:rsidRPr="00357D27" w:rsidRDefault="0088244C" w:rsidP="0088244C"/>
    <w:p w:rsidR="00476C81" w:rsidRDefault="0088244C" w:rsidP="0088244C">
      <w:pPr>
        <w:rPr>
          <w:b/>
        </w:rPr>
      </w:pPr>
      <w:r w:rsidRPr="00357D27">
        <w:rPr>
          <w:b/>
        </w:rPr>
        <w:t>Crit</w:t>
      </w:r>
      <w:r w:rsidR="00EC2D57">
        <w:rPr>
          <w:b/>
        </w:rPr>
        <w:t>eria for Success</w:t>
      </w:r>
      <w:r w:rsidRPr="00357D27">
        <w:rPr>
          <w:b/>
        </w:rPr>
        <w:t>:</w:t>
      </w:r>
      <w:r w:rsidR="00BA7077" w:rsidRPr="00357D27">
        <w:rPr>
          <w:b/>
        </w:rPr>
        <w:t xml:space="preserve"> </w:t>
      </w:r>
    </w:p>
    <w:p w:rsidR="00CD0F73" w:rsidRPr="00985D97" w:rsidRDefault="00476C81" w:rsidP="0088244C">
      <w:r w:rsidRPr="00985D97">
        <w:t>S</w:t>
      </w:r>
      <w:r w:rsidR="00CD0F73" w:rsidRPr="00985D97">
        <w:t>tudent</w:t>
      </w:r>
      <w:r w:rsidR="00625DDA" w:rsidRPr="00985D97">
        <w:t xml:space="preserve">s will </w:t>
      </w:r>
      <w:r w:rsidR="00CD0F73" w:rsidRPr="00985D97">
        <w:t xml:space="preserve">score above the </w:t>
      </w:r>
      <w:r w:rsidR="0025101D" w:rsidRPr="00985D97">
        <w:t>65</w:t>
      </w:r>
      <w:r w:rsidR="00625DDA" w:rsidRPr="00985D97">
        <w:rPr>
          <w:vertAlign w:val="superscript"/>
        </w:rPr>
        <w:t>th</w:t>
      </w:r>
      <w:r w:rsidR="0025101D" w:rsidRPr="00985D97">
        <w:t xml:space="preserve"> percentile for total score</w:t>
      </w:r>
      <w:r w:rsidR="00924BC4" w:rsidRPr="00985D97">
        <w:t xml:space="preserve"> in any given year and a 70</w:t>
      </w:r>
      <w:r w:rsidR="00924BC4" w:rsidRPr="00985D97">
        <w:rPr>
          <w:vertAlign w:val="superscript"/>
        </w:rPr>
        <w:t>th</w:t>
      </w:r>
      <w:r w:rsidR="00924BC4" w:rsidRPr="00985D97">
        <w:t xml:space="preserve"> percentile average for total score over a 10 year rolling time period</w:t>
      </w:r>
      <w:r w:rsidR="0025101D" w:rsidRPr="00985D97">
        <w:t>.</w:t>
      </w:r>
    </w:p>
    <w:p w:rsidR="0088244C" w:rsidRPr="00985D97" w:rsidRDefault="0088244C" w:rsidP="0088244C"/>
    <w:p w:rsidR="00476C81" w:rsidRDefault="0088244C" w:rsidP="0088244C">
      <w:pPr>
        <w:rPr>
          <w:b/>
        </w:rPr>
      </w:pPr>
      <w:r w:rsidRPr="009D530C">
        <w:rPr>
          <w:b/>
        </w:rPr>
        <w:t>Longitudinal Data:</w:t>
      </w:r>
      <w:r w:rsidR="00474C7B">
        <w:rPr>
          <w:b/>
        </w:rPr>
        <w:t xml:space="preserve"> </w:t>
      </w:r>
    </w:p>
    <w:p w:rsidR="00625DDA" w:rsidRPr="00985D97" w:rsidRDefault="00EC2D57" w:rsidP="0088244C">
      <w:r w:rsidRPr="00985D97">
        <w:t>The COB</w:t>
      </w:r>
      <w:r w:rsidR="00B22759" w:rsidRPr="00985D97">
        <w:t xml:space="preserve"> has collected </w:t>
      </w:r>
      <w:r w:rsidR="0025101D" w:rsidRPr="00985D97">
        <w:t xml:space="preserve">ETS data every other year or so </w:t>
      </w:r>
      <w:r w:rsidR="00625DDA" w:rsidRPr="00985D97">
        <w:t xml:space="preserve">since </w:t>
      </w:r>
      <w:r w:rsidR="0025101D" w:rsidRPr="00985D97">
        <w:t>the spring of 2007</w:t>
      </w:r>
      <w:r w:rsidR="00625DDA" w:rsidRPr="00985D97">
        <w:t xml:space="preserve"> during the capstone course </w:t>
      </w:r>
      <w:r w:rsidR="0025101D" w:rsidRPr="00985D97">
        <w:t>GBUS 565</w:t>
      </w:r>
      <w:r w:rsidR="00625DDA" w:rsidRPr="00985D97">
        <w:t>, Strategic Manageme</w:t>
      </w:r>
      <w:r w:rsidR="00D64B37">
        <w:t>nt, which is a data series of 7</w:t>
      </w:r>
      <w:r w:rsidR="0025101D" w:rsidRPr="00985D97">
        <w:t xml:space="preserve"> data points (</w:t>
      </w:r>
      <w:r w:rsidR="00D64B37">
        <w:t>7</w:t>
      </w:r>
      <w:r w:rsidR="00625DDA" w:rsidRPr="00985D97">
        <w:t xml:space="preserve"> academic years). For reporting purposes, the </w:t>
      </w:r>
      <w:r w:rsidR="00B749D5" w:rsidRPr="00985D97">
        <w:t>percent of students scor</w:t>
      </w:r>
      <w:r w:rsidR="00825D57" w:rsidRPr="00985D97">
        <w:t>ing</w:t>
      </w:r>
      <w:r w:rsidRPr="00985D97">
        <w:t xml:space="preserve"> below OR</w:t>
      </w:r>
      <w:r w:rsidR="0025101D" w:rsidRPr="00985D97">
        <w:t>U for those six</w:t>
      </w:r>
      <w:r w:rsidR="00625DDA" w:rsidRPr="00985D97">
        <w:t xml:space="preserve"> </w:t>
      </w:r>
      <w:proofErr w:type="gramStart"/>
      <w:r w:rsidR="00625DDA" w:rsidRPr="00985D97">
        <w:t>years</w:t>
      </w:r>
      <w:r w:rsidR="0037263D" w:rsidRPr="00985D97">
        <w:t xml:space="preserve"> </w:t>
      </w:r>
      <w:r w:rsidR="00625DDA" w:rsidRPr="00985D97">
        <w:t xml:space="preserve"> will</w:t>
      </w:r>
      <w:proofErr w:type="gramEnd"/>
      <w:r w:rsidR="00625DDA" w:rsidRPr="00985D97">
        <w:t xml:space="preserve"> be reported</w:t>
      </w:r>
      <w:r w:rsidR="00825D57" w:rsidRPr="00985D97">
        <w:t>. Total scores appear first, followed by scores for disciplinary areas</w:t>
      </w:r>
      <w:r w:rsidR="00625DDA" w:rsidRPr="00985D97">
        <w:t>.</w:t>
      </w:r>
      <w:r w:rsidR="00B749D5" w:rsidRPr="00985D97">
        <w:t xml:space="preserve"> </w:t>
      </w:r>
    </w:p>
    <w:p w:rsidR="00B31712" w:rsidRDefault="00B31712" w:rsidP="0088244C"/>
    <w:p w:rsidR="00B31712" w:rsidRPr="00B31712" w:rsidRDefault="0037263D" w:rsidP="00B31712">
      <w:pPr>
        <w:jc w:val="center"/>
        <w:rPr>
          <w:b/>
        </w:rPr>
      </w:pPr>
      <w:r>
        <w:rPr>
          <w:b/>
        </w:rPr>
        <w:t xml:space="preserve">ETS: </w:t>
      </w:r>
      <w:r w:rsidR="00452975" w:rsidRPr="00985D97">
        <w:rPr>
          <w:b/>
        </w:rPr>
        <w:t>MBA</w:t>
      </w:r>
      <w:r w:rsidR="00B31712" w:rsidRPr="00985D97">
        <w:rPr>
          <w:b/>
        </w:rPr>
        <w:t xml:space="preserve"> </w:t>
      </w:r>
      <w:r w:rsidR="00B31712" w:rsidRPr="00B31712">
        <w:rPr>
          <w:b/>
        </w:rPr>
        <w:t>Total Scores</w:t>
      </w:r>
      <w:r w:rsidR="00B31712" w:rsidRPr="00B31712">
        <w:rPr>
          <w:b/>
        </w:rPr>
        <w:br/>
        <w:t xml:space="preserve">National Comparison: Percent </w:t>
      </w:r>
      <w:proofErr w:type="gramStart"/>
      <w:r w:rsidR="00B31712" w:rsidRPr="00B31712">
        <w:rPr>
          <w:b/>
        </w:rPr>
        <w:t>Below</w:t>
      </w:r>
      <w:proofErr w:type="gramEnd"/>
      <w:r w:rsidR="00EC2D57">
        <w:rPr>
          <w:b/>
        </w:rPr>
        <w:t xml:space="preserve"> OR</w:t>
      </w:r>
      <w:r w:rsidR="00B31712" w:rsidRPr="00B31712">
        <w:rPr>
          <w:b/>
        </w:rPr>
        <w:t>U</w:t>
      </w:r>
    </w:p>
    <w:p w:rsidR="00B31712" w:rsidRDefault="00B31712" w:rsidP="0088244C"/>
    <w:p w:rsidR="00B31712" w:rsidRPr="00476C81" w:rsidRDefault="007E0E1B" w:rsidP="0088244C">
      <w:r>
        <w:rPr>
          <w:noProof/>
        </w:rPr>
        <w:drawing>
          <wp:anchor distT="0" distB="0" distL="114300" distR="114300" simplePos="0" relativeHeight="251658240" behindDoc="1" locked="0" layoutInCell="1" allowOverlap="1" wp14:anchorId="571F2201" wp14:editId="60686B49">
            <wp:simplePos x="0" y="0"/>
            <wp:positionH relativeFrom="column">
              <wp:posOffset>723900</wp:posOffset>
            </wp:positionH>
            <wp:positionV relativeFrom="paragraph">
              <wp:posOffset>-3810</wp:posOffset>
            </wp:positionV>
            <wp:extent cx="4657725" cy="3142615"/>
            <wp:effectExtent l="0" t="0" r="9525" b="19685"/>
            <wp:wrapThrough wrapText="bothSides">
              <wp:wrapPolygon edited="0">
                <wp:start x="0" y="0"/>
                <wp:lineTo x="0" y="21604"/>
                <wp:lineTo x="21556" y="21604"/>
                <wp:lineTo x="21556"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625DDA" w:rsidRDefault="00625DDA"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B67FB8" w:rsidRDefault="00B67FB8" w:rsidP="0088244C"/>
    <w:p w:rsidR="007E0E1B" w:rsidRDefault="007E0E1B" w:rsidP="00604D5A">
      <w:pPr>
        <w:jc w:val="center"/>
        <w:rPr>
          <w:b/>
        </w:rPr>
      </w:pPr>
    </w:p>
    <w:p w:rsidR="007E0E1B" w:rsidRDefault="007E0E1B" w:rsidP="00604D5A">
      <w:pPr>
        <w:jc w:val="center"/>
        <w:rPr>
          <w:b/>
        </w:rPr>
      </w:pPr>
    </w:p>
    <w:p w:rsidR="007E0E1B" w:rsidRDefault="007E0E1B" w:rsidP="00604D5A">
      <w:pPr>
        <w:jc w:val="center"/>
        <w:rPr>
          <w:b/>
        </w:rPr>
      </w:pPr>
    </w:p>
    <w:p w:rsidR="007E0E1B" w:rsidRDefault="007E0E1B" w:rsidP="00604D5A">
      <w:pPr>
        <w:jc w:val="center"/>
        <w:rPr>
          <w:b/>
        </w:rPr>
      </w:pPr>
    </w:p>
    <w:p w:rsidR="0037263D" w:rsidRPr="00985D97" w:rsidRDefault="0037263D" w:rsidP="00604D5A">
      <w:pPr>
        <w:jc w:val="center"/>
        <w:rPr>
          <w:b/>
        </w:rPr>
      </w:pPr>
      <w:r w:rsidRPr="00985D97">
        <w:rPr>
          <w:b/>
        </w:rPr>
        <w:t xml:space="preserve">ETS: </w:t>
      </w:r>
    </w:p>
    <w:p w:rsidR="00604D5A" w:rsidRPr="00B31712" w:rsidRDefault="00452975" w:rsidP="00604D5A">
      <w:pPr>
        <w:jc w:val="center"/>
        <w:rPr>
          <w:b/>
        </w:rPr>
      </w:pPr>
      <w:r w:rsidRPr="00985D97">
        <w:rPr>
          <w:b/>
        </w:rPr>
        <w:t>MBA</w:t>
      </w:r>
      <w:r w:rsidR="00604D5A" w:rsidRPr="00985D97">
        <w:rPr>
          <w:b/>
        </w:rPr>
        <w:t xml:space="preserve"> </w:t>
      </w:r>
      <w:r w:rsidR="00604D5A">
        <w:rPr>
          <w:b/>
        </w:rPr>
        <w:lastRenderedPageBreak/>
        <w:t>Disciplinary Area Sub-</w:t>
      </w:r>
      <w:r w:rsidR="00604D5A" w:rsidRPr="00B31712">
        <w:rPr>
          <w:b/>
        </w:rPr>
        <w:t>Scores</w:t>
      </w:r>
      <w:r w:rsidR="00604D5A" w:rsidRPr="00B31712">
        <w:rPr>
          <w:b/>
        </w:rPr>
        <w:br/>
        <w:t>Nation</w:t>
      </w:r>
      <w:r w:rsidR="00EC2D57">
        <w:rPr>
          <w:b/>
        </w:rPr>
        <w:t>al Comparison: Percent Below OR</w:t>
      </w:r>
      <w:r w:rsidR="00604D5A" w:rsidRPr="00B31712">
        <w:rPr>
          <w:b/>
        </w:rPr>
        <w:t>U</w:t>
      </w:r>
    </w:p>
    <w:p w:rsidR="00B67FB8" w:rsidRDefault="00B67FB8" w:rsidP="0088244C"/>
    <w:p w:rsidR="00B67FB8" w:rsidRPr="00476C81" w:rsidRDefault="00B02D48" w:rsidP="0088244C">
      <w:r>
        <w:rPr>
          <w:noProof/>
        </w:rPr>
        <w:drawing>
          <wp:inline distT="0" distB="0" distL="0" distR="0" wp14:anchorId="1C655C73" wp14:editId="062E28E3">
            <wp:extent cx="5943600" cy="2883535"/>
            <wp:effectExtent l="0" t="0" r="1905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1712" w:rsidRDefault="00B31712"/>
    <w:p w:rsidR="00604D5A" w:rsidRDefault="00604D5A"/>
    <w:p w:rsidR="00604D5A" w:rsidRDefault="00A44987">
      <w:r>
        <w:t>The following chart shows the specific percentages</w:t>
      </w:r>
      <w:r w:rsidR="00EC2D57">
        <w:t xml:space="preserve"> below OR</w:t>
      </w:r>
      <w:r w:rsidR="00F2432C">
        <w:t>U</w:t>
      </w:r>
      <w:r w:rsidR="00F04506">
        <w:t xml:space="preserve"> for each year, representing national comparisons </w:t>
      </w:r>
      <w:r w:rsidR="00F2432C">
        <w:t>for</w:t>
      </w:r>
      <w:r w:rsidR="00F04506">
        <w:t xml:space="preserve"> each disciplinary area.</w:t>
      </w:r>
    </w:p>
    <w:p w:rsidR="00604D5A" w:rsidRPr="00985D97" w:rsidRDefault="00604D5A"/>
    <w:p w:rsidR="00C535CA" w:rsidRPr="00985D97" w:rsidRDefault="007A0D7A">
      <w:r w:rsidRPr="007A0D7A">
        <w:rPr>
          <w:noProof/>
        </w:rPr>
        <w:drawing>
          <wp:inline distT="0" distB="0" distL="0" distR="0">
            <wp:extent cx="6029325" cy="12783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1278338"/>
                    </a:xfrm>
                    <a:prstGeom prst="rect">
                      <a:avLst/>
                    </a:prstGeom>
                    <a:noFill/>
                    <a:ln>
                      <a:noFill/>
                    </a:ln>
                  </pic:spPr>
                </pic:pic>
              </a:graphicData>
            </a:graphic>
          </wp:inline>
        </w:drawing>
      </w:r>
    </w:p>
    <w:p w:rsidR="00476C81" w:rsidRPr="00985D97" w:rsidRDefault="00476C81" w:rsidP="0088244C"/>
    <w:p w:rsidR="004A1899" w:rsidRPr="007A0D7A" w:rsidRDefault="0088244C" w:rsidP="0088244C">
      <w:pPr>
        <w:rPr>
          <w:b/>
        </w:rPr>
      </w:pPr>
      <w:r w:rsidRPr="00985D97">
        <w:rPr>
          <w:b/>
        </w:rPr>
        <w:t>Conclusions Drawn from Data:</w:t>
      </w:r>
      <w:r w:rsidR="00474C7B" w:rsidRPr="00985D97">
        <w:rPr>
          <w:b/>
        </w:rPr>
        <w:t xml:space="preserve"> </w:t>
      </w:r>
    </w:p>
    <w:p w:rsidR="00C87A13" w:rsidRPr="00985D97" w:rsidRDefault="00D64B37" w:rsidP="002E0C73">
      <w:r>
        <w:t>During the 7</w:t>
      </w:r>
      <w:r w:rsidR="00A64EA4" w:rsidRPr="00985D97">
        <w:t xml:space="preserve"> years</w:t>
      </w:r>
      <w:r w:rsidR="00452975" w:rsidRPr="00985D97">
        <w:t xml:space="preserve"> included in the data</w:t>
      </w:r>
      <w:r w:rsidR="00A64EA4" w:rsidRPr="00985D97">
        <w:t xml:space="preserve">, on average, </w:t>
      </w:r>
      <w:r w:rsidR="00452975" w:rsidRPr="00985D97">
        <w:t>73</w:t>
      </w:r>
      <w:r w:rsidR="00A64EA4" w:rsidRPr="00985D97">
        <w:t>% of a</w:t>
      </w:r>
      <w:r w:rsidR="00EC2D57" w:rsidRPr="00985D97">
        <w:t>ll institutions scored below  OR</w:t>
      </w:r>
      <w:r w:rsidR="00452975" w:rsidRPr="00985D97">
        <w:t>U MBA</w:t>
      </w:r>
      <w:r w:rsidR="00A64EA4" w:rsidRPr="00985D97">
        <w:t xml:space="preserve"> students on the ETS Major Field Test</w:t>
      </w:r>
      <w:r>
        <w:t xml:space="preserve"> (total scores).  F</w:t>
      </w:r>
      <w:r w:rsidR="00452975" w:rsidRPr="00985D97">
        <w:t xml:space="preserve">or </w:t>
      </w:r>
      <w:r w:rsidR="00A64EA4" w:rsidRPr="00985D97">
        <w:t xml:space="preserve">the </w:t>
      </w:r>
      <w:r w:rsidR="00452975" w:rsidRPr="00985D97">
        <w:t>m</w:t>
      </w:r>
      <w:r>
        <w:t>ost recent data point (Spring 2017) 72</w:t>
      </w:r>
      <w:r w:rsidR="00A64EA4" w:rsidRPr="00985D97">
        <w:t>% of al</w:t>
      </w:r>
      <w:r w:rsidR="00452975" w:rsidRPr="00985D97">
        <w:t>l institutions scored below the ORU MBA</w:t>
      </w:r>
      <w:r>
        <w:t xml:space="preserve"> students, which is about equal to the longitudinal average and above our stated minimum </w:t>
      </w:r>
      <w:r w:rsidR="00A64EA4" w:rsidRPr="00985D97">
        <w:t xml:space="preserve">goal. </w:t>
      </w:r>
    </w:p>
    <w:p w:rsidR="00C87A13" w:rsidRPr="00985D97" w:rsidRDefault="00C87A13" w:rsidP="002E0C73"/>
    <w:p w:rsidR="0088244C" w:rsidRPr="008A1735" w:rsidRDefault="0088244C" w:rsidP="0088244C">
      <w:pPr>
        <w:rPr>
          <w:highlight w:val="yellow"/>
        </w:rPr>
      </w:pPr>
    </w:p>
    <w:p w:rsidR="004D02BD" w:rsidRPr="00985D97" w:rsidRDefault="0088244C" w:rsidP="0088244C">
      <w:r w:rsidRPr="00985D97">
        <w:rPr>
          <w:b/>
        </w:rPr>
        <w:t>Chan</w:t>
      </w:r>
      <w:r w:rsidR="00841BDD" w:rsidRPr="00985D97">
        <w:rPr>
          <w:b/>
        </w:rPr>
        <w:t xml:space="preserve">ges </w:t>
      </w:r>
      <w:r w:rsidRPr="00985D97">
        <w:rPr>
          <w:b/>
        </w:rPr>
        <w:t>Made Based on Data:</w:t>
      </w:r>
    </w:p>
    <w:p w:rsidR="00133CBD" w:rsidRPr="00985D97" w:rsidRDefault="00924BC4" w:rsidP="0088244C">
      <w:r w:rsidRPr="00985D97">
        <w:t>Over time, there has been an intentional repositioning of professors for the core content courses in Marketing and in Management. In addition, the course content and some delivery methods have been revised for those courses. Fina</w:t>
      </w:r>
      <w:r w:rsidR="00D64B37">
        <w:t xml:space="preserve">lly, admissions, </w:t>
      </w:r>
      <w:r w:rsidRPr="00985D97">
        <w:t>academic suspension</w:t>
      </w:r>
      <w:r w:rsidR="00D64B37">
        <w:t>s,</w:t>
      </w:r>
      <w:r w:rsidRPr="00985D97">
        <w:t xml:space="preserve"> </w:t>
      </w:r>
      <w:r w:rsidR="00D64B37">
        <w:t xml:space="preserve">and probation </w:t>
      </w:r>
      <w:r w:rsidRPr="00985D97">
        <w:t xml:space="preserve">policies have been strengthened significantly. </w:t>
      </w:r>
      <w:r w:rsidR="00F54689" w:rsidRPr="00985D97">
        <w:t>In order to continue improvements in our outcomes, we p</w:t>
      </w:r>
      <w:r w:rsidR="00D74A1E" w:rsidRPr="00985D97">
        <w:t>lan to continue to monitor the scores (both Total Scores and Disciplinary Sub-Scores) to identify areas needing improvement.</w:t>
      </w:r>
      <w:r w:rsidR="00D64B37">
        <w:t xml:space="preserve"> One area to note at this time is a challenge with international student performance. The majority of the low scores on the recent assessment come from international students. In that regard, discussions need to take place on how to </w:t>
      </w:r>
      <w:r w:rsidR="00D64B37">
        <w:lastRenderedPageBreak/>
        <w:t>better monitor admissions and performance standards for international students. This is a difficult issue, as there is no real standardized method in place to evaluate international student performance before acceptance and enrollment.</w:t>
      </w:r>
    </w:p>
    <w:sectPr w:rsidR="00133CBD" w:rsidRPr="00985D97" w:rsidSect="0086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C07"/>
    <w:multiLevelType w:val="hybridMultilevel"/>
    <w:tmpl w:val="65365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3C3CC7"/>
    <w:multiLevelType w:val="hybridMultilevel"/>
    <w:tmpl w:val="B02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C66A3"/>
    <w:multiLevelType w:val="hybridMultilevel"/>
    <w:tmpl w:val="889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844BB"/>
    <w:multiLevelType w:val="hybridMultilevel"/>
    <w:tmpl w:val="14E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0C"/>
    <w:rsid w:val="00133CBD"/>
    <w:rsid w:val="00174D2D"/>
    <w:rsid w:val="0025101D"/>
    <w:rsid w:val="00252610"/>
    <w:rsid w:val="00295EAA"/>
    <w:rsid w:val="002C0C5E"/>
    <w:rsid w:val="002E0C73"/>
    <w:rsid w:val="00357D27"/>
    <w:rsid w:val="0037263D"/>
    <w:rsid w:val="003855E7"/>
    <w:rsid w:val="003871F9"/>
    <w:rsid w:val="0039234D"/>
    <w:rsid w:val="003A79B8"/>
    <w:rsid w:val="00401E7A"/>
    <w:rsid w:val="00452975"/>
    <w:rsid w:val="00474C7B"/>
    <w:rsid w:val="00476C81"/>
    <w:rsid w:val="0049796F"/>
    <w:rsid w:val="004A1899"/>
    <w:rsid w:val="004D02BD"/>
    <w:rsid w:val="00573121"/>
    <w:rsid w:val="005F3309"/>
    <w:rsid w:val="00604D5A"/>
    <w:rsid w:val="00625DDA"/>
    <w:rsid w:val="00682278"/>
    <w:rsid w:val="007A0D7A"/>
    <w:rsid w:val="007E0E1B"/>
    <w:rsid w:val="00800D1C"/>
    <w:rsid w:val="008165A0"/>
    <w:rsid w:val="00825D57"/>
    <w:rsid w:val="00841BDD"/>
    <w:rsid w:val="008434EE"/>
    <w:rsid w:val="0084669A"/>
    <w:rsid w:val="00865048"/>
    <w:rsid w:val="0088244C"/>
    <w:rsid w:val="008A1735"/>
    <w:rsid w:val="008B4AAB"/>
    <w:rsid w:val="008E32AF"/>
    <w:rsid w:val="00924BC4"/>
    <w:rsid w:val="00985D97"/>
    <w:rsid w:val="009D530C"/>
    <w:rsid w:val="00A13A05"/>
    <w:rsid w:val="00A154F5"/>
    <w:rsid w:val="00A44987"/>
    <w:rsid w:val="00A64EA4"/>
    <w:rsid w:val="00B02D48"/>
    <w:rsid w:val="00B22759"/>
    <w:rsid w:val="00B31712"/>
    <w:rsid w:val="00B6523D"/>
    <w:rsid w:val="00B67FB8"/>
    <w:rsid w:val="00B749D5"/>
    <w:rsid w:val="00B80A08"/>
    <w:rsid w:val="00BA7077"/>
    <w:rsid w:val="00C535CA"/>
    <w:rsid w:val="00C87A13"/>
    <w:rsid w:val="00CD0F73"/>
    <w:rsid w:val="00D478F8"/>
    <w:rsid w:val="00D64B37"/>
    <w:rsid w:val="00D74A1E"/>
    <w:rsid w:val="00D85965"/>
    <w:rsid w:val="00DD0A7F"/>
    <w:rsid w:val="00EA40CE"/>
    <w:rsid w:val="00EB4A61"/>
    <w:rsid w:val="00EC2D57"/>
    <w:rsid w:val="00F04506"/>
    <w:rsid w:val="00F2432C"/>
    <w:rsid w:val="00F5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C7027-EEAF-4024-8BCC-97BD93D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530C"/>
    <w:pPr>
      <w:ind w:left="720"/>
      <w:contextualSpacing/>
    </w:pPr>
    <w:rPr>
      <w:rFonts w:cs="Arial"/>
    </w:rPr>
  </w:style>
  <w:style w:type="paragraph" w:styleId="BalloonText">
    <w:name w:val="Balloon Text"/>
    <w:basedOn w:val="Normal"/>
    <w:link w:val="BalloonTextChar"/>
    <w:uiPriority w:val="99"/>
    <w:semiHidden/>
    <w:unhideWhenUsed/>
    <w:rsid w:val="00B22759"/>
    <w:rPr>
      <w:rFonts w:ascii="Tahoma" w:hAnsi="Tahoma" w:cs="Tahoma"/>
      <w:sz w:val="16"/>
      <w:szCs w:val="16"/>
    </w:rPr>
  </w:style>
  <w:style w:type="character" w:customStyle="1" w:styleId="BalloonTextChar">
    <w:name w:val="Balloon Text Char"/>
    <w:basedOn w:val="DefaultParagraphFont"/>
    <w:link w:val="BalloonText"/>
    <w:uiPriority w:val="99"/>
    <w:semiHidden/>
    <w:rsid w:val="00B22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2448">
      <w:bodyDiv w:val="1"/>
      <w:marLeft w:val="0"/>
      <w:marRight w:val="0"/>
      <w:marTop w:val="0"/>
      <w:marBottom w:val="0"/>
      <w:divBdr>
        <w:top w:val="none" w:sz="0" w:space="0" w:color="auto"/>
        <w:left w:val="none" w:sz="0" w:space="0" w:color="auto"/>
        <w:bottom w:val="none" w:sz="0" w:space="0" w:color="auto"/>
        <w:right w:val="none" w:sz="0" w:space="0" w:color="auto"/>
      </w:divBdr>
    </w:div>
    <w:div w:id="521672258">
      <w:bodyDiv w:val="1"/>
      <w:marLeft w:val="0"/>
      <w:marRight w:val="0"/>
      <w:marTop w:val="0"/>
      <w:marBottom w:val="0"/>
      <w:divBdr>
        <w:top w:val="none" w:sz="0" w:space="0" w:color="auto"/>
        <w:left w:val="none" w:sz="0" w:space="0" w:color="auto"/>
        <w:bottom w:val="none" w:sz="0" w:space="0" w:color="auto"/>
        <w:right w:val="none" w:sz="0" w:space="0" w:color="auto"/>
      </w:divBdr>
    </w:div>
    <w:div w:id="611670083">
      <w:bodyDiv w:val="1"/>
      <w:marLeft w:val="0"/>
      <w:marRight w:val="0"/>
      <w:marTop w:val="0"/>
      <w:marBottom w:val="0"/>
      <w:divBdr>
        <w:top w:val="none" w:sz="0" w:space="0" w:color="auto"/>
        <w:left w:val="none" w:sz="0" w:space="0" w:color="auto"/>
        <w:bottom w:val="none" w:sz="0" w:space="0" w:color="auto"/>
        <w:right w:val="none" w:sz="0" w:space="0" w:color="auto"/>
      </w:divBdr>
    </w:div>
    <w:div w:id="904296339">
      <w:bodyDiv w:val="1"/>
      <w:marLeft w:val="0"/>
      <w:marRight w:val="0"/>
      <w:marTop w:val="0"/>
      <w:marBottom w:val="0"/>
      <w:divBdr>
        <w:top w:val="none" w:sz="0" w:space="0" w:color="auto"/>
        <w:left w:val="none" w:sz="0" w:space="0" w:color="auto"/>
        <w:bottom w:val="none" w:sz="0" w:space="0" w:color="auto"/>
        <w:right w:val="none" w:sz="0" w:space="0" w:color="auto"/>
      </w:divBdr>
    </w:div>
    <w:div w:id="904488438">
      <w:bodyDiv w:val="1"/>
      <w:marLeft w:val="0"/>
      <w:marRight w:val="0"/>
      <w:marTop w:val="0"/>
      <w:marBottom w:val="0"/>
      <w:divBdr>
        <w:top w:val="none" w:sz="0" w:space="0" w:color="auto"/>
        <w:left w:val="none" w:sz="0" w:space="0" w:color="auto"/>
        <w:bottom w:val="none" w:sz="0" w:space="0" w:color="auto"/>
        <w:right w:val="none" w:sz="0" w:space="0" w:color="auto"/>
      </w:divBdr>
    </w:div>
    <w:div w:id="1676616273">
      <w:bodyDiv w:val="1"/>
      <w:marLeft w:val="0"/>
      <w:marRight w:val="0"/>
      <w:marTop w:val="0"/>
      <w:marBottom w:val="0"/>
      <w:divBdr>
        <w:top w:val="none" w:sz="0" w:space="0" w:color="auto"/>
        <w:left w:val="none" w:sz="0" w:space="0" w:color="auto"/>
        <w:bottom w:val="none" w:sz="0" w:space="0" w:color="auto"/>
        <w:right w:val="none" w:sz="0" w:space="0" w:color="auto"/>
      </w:divBdr>
    </w:div>
    <w:div w:id="1849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ETS: Graduate</a:t>
            </a:r>
            <a:r>
              <a:rPr lang="en-US" baseline="0"/>
              <a:t> Total Scores</a:t>
            </a:r>
            <a:endParaRPr lang="en-US"/>
          </a:p>
        </c:rich>
      </c:tx>
      <c:layout/>
      <c:overlay val="0"/>
    </c:title>
    <c:autoTitleDeleted val="0"/>
    <c:plotArea>
      <c:layout/>
      <c:lineChart>
        <c:grouping val="standard"/>
        <c:varyColors val="0"/>
        <c:ser>
          <c:idx val="0"/>
          <c:order val="0"/>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Sheet1!$A$4:$A$10</c:f>
              <c:strCache>
                <c:ptCount val="7"/>
                <c:pt idx="0">
                  <c:v>Spring 2007</c:v>
                </c:pt>
                <c:pt idx="1">
                  <c:v>Spring 2008</c:v>
                </c:pt>
                <c:pt idx="2">
                  <c:v>Spring 2010</c:v>
                </c:pt>
                <c:pt idx="3">
                  <c:v>Spring 2011</c:v>
                </c:pt>
                <c:pt idx="4">
                  <c:v>Spring 2012</c:v>
                </c:pt>
                <c:pt idx="5">
                  <c:v>Fall 2014</c:v>
                </c:pt>
                <c:pt idx="6">
                  <c:v>Spring 2017</c:v>
                </c:pt>
              </c:strCache>
            </c:strRef>
          </c:cat>
          <c:val>
            <c:numRef>
              <c:f>Sheet1!$B$4:$B$10</c:f>
              <c:numCache>
                <c:formatCode>General</c:formatCode>
                <c:ptCount val="7"/>
                <c:pt idx="0">
                  <c:v>90</c:v>
                </c:pt>
                <c:pt idx="1">
                  <c:v>65</c:v>
                </c:pt>
                <c:pt idx="2">
                  <c:v>75</c:v>
                </c:pt>
                <c:pt idx="3">
                  <c:v>60</c:v>
                </c:pt>
                <c:pt idx="4">
                  <c:v>56</c:v>
                </c:pt>
                <c:pt idx="5">
                  <c:v>94</c:v>
                </c:pt>
                <c:pt idx="6">
                  <c:v>72</c:v>
                </c:pt>
              </c:numCache>
            </c:numRef>
          </c:val>
          <c:smooth val="0"/>
        </c:ser>
        <c:dLbls>
          <c:dLblPos val="b"/>
          <c:showLegendKey val="0"/>
          <c:showVal val="1"/>
          <c:showCatName val="0"/>
          <c:showSerName val="0"/>
          <c:showPercent val="0"/>
          <c:showBubbleSize val="0"/>
        </c:dLbls>
        <c:hiLowLines/>
        <c:smooth val="0"/>
        <c:axId val="119395040"/>
        <c:axId val="119411536"/>
      </c:lineChart>
      <c:catAx>
        <c:axId val="119395040"/>
        <c:scaling>
          <c:orientation val="minMax"/>
        </c:scaling>
        <c:delete val="0"/>
        <c:axPos val="b"/>
        <c:numFmt formatCode="General" sourceLinked="0"/>
        <c:majorTickMark val="none"/>
        <c:minorTickMark val="none"/>
        <c:tickLblPos val="nextTo"/>
        <c:crossAx val="119411536"/>
        <c:crosses val="autoZero"/>
        <c:auto val="1"/>
        <c:lblAlgn val="ctr"/>
        <c:lblOffset val="100"/>
        <c:noMultiLvlLbl val="0"/>
      </c:catAx>
      <c:valAx>
        <c:axId val="119411536"/>
        <c:scaling>
          <c:orientation val="minMax"/>
        </c:scaling>
        <c:delete val="0"/>
        <c:axPos val="l"/>
        <c:majorGridlines/>
        <c:numFmt formatCode="General" sourceLinked="1"/>
        <c:majorTickMark val="out"/>
        <c:minorTickMark val="none"/>
        <c:tickLblPos val="nextTo"/>
        <c:crossAx val="119395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ETS: Disciplinary</a:t>
            </a:r>
            <a:r>
              <a:rPr lang="en-US" baseline="0"/>
              <a:t> Areas</a:t>
            </a:r>
            <a:endParaRPr lang="en-US"/>
          </a:p>
        </c:rich>
      </c:tx>
      <c:layout/>
      <c:overlay val="0"/>
    </c:title>
    <c:autoTitleDeleted val="0"/>
    <c:plotArea>
      <c:layout/>
      <c:lineChart>
        <c:grouping val="standard"/>
        <c:varyColors val="0"/>
        <c:ser>
          <c:idx val="0"/>
          <c:order val="0"/>
          <c:tx>
            <c:strRef>
              <c:f>Sheet1!$D$4</c:f>
              <c:strCache>
                <c:ptCount val="1"/>
                <c:pt idx="0">
                  <c:v>Accounting</c:v>
                </c:pt>
              </c:strCache>
            </c:strRef>
          </c:tx>
          <c:marker>
            <c:symbol val="none"/>
          </c:marker>
          <c:cat>
            <c:strRef>
              <c:f>Sheet1!$E$3:$K$3</c:f>
              <c:strCache>
                <c:ptCount val="7"/>
                <c:pt idx="0">
                  <c:v>Sp 2007</c:v>
                </c:pt>
                <c:pt idx="1">
                  <c:v>Sp 2008</c:v>
                </c:pt>
                <c:pt idx="2">
                  <c:v>Sp 2010</c:v>
                </c:pt>
                <c:pt idx="3">
                  <c:v>Sp 2011</c:v>
                </c:pt>
                <c:pt idx="4">
                  <c:v>Sp 2012</c:v>
                </c:pt>
                <c:pt idx="5">
                  <c:v>F 2014</c:v>
                </c:pt>
                <c:pt idx="6">
                  <c:v>S 2017</c:v>
                </c:pt>
              </c:strCache>
            </c:strRef>
          </c:cat>
          <c:val>
            <c:numRef>
              <c:f>Sheet1!$E$4:$K$4</c:f>
              <c:numCache>
                <c:formatCode>0%</c:formatCode>
                <c:ptCount val="7"/>
                <c:pt idx="0">
                  <c:v>0.9</c:v>
                </c:pt>
                <c:pt idx="1">
                  <c:v>0.77</c:v>
                </c:pt>
                <c:pt idx="2">
                  <c:v>0.75</c:v>
                </c:pt>
                <c:pt idx="3">
                  <c:v>0.5</c:v>
                </c:pt>
                <c:pt idx="4">
                  <c:v>0.51</c:v>
                </c:pt>
                <c:pt idx="5">
                  <c:v>0.9</c:v>
                </c:pt>
                <c:pt idx="6">
                  <c:v>0.73</c:v>
                </c:pt>
              </c:numCache>
            </c:numRef>
          </c:val>
          <c:smooth val="0"/>
        </c:ser>
        <c:ser>
          <c:idx val="1"/>
          <c:order val="1"/>
          <c:tx>
            <c:strRef>
              <c:f>Sheet1!$D$5</c:f>
              <c:strCache>
                <c:ptCount val="1"/>
                <c:pt idx="0">
                  <c:v>Management</c:v>
                </c:pt>
              </c:strCache>
            </c:strRef>
          </c:tx>
          <c:marker>
            <c:symbol val="none"/>
          </c:marker>
          <c:cat>
            <c:strRef>
              <c:f>Sheet1!$E$3:$K$3</c:f>
              <c:strCache>
                <c:ptCount val="7"/>
                <c:pt idx="0">
                  <c:v>Sp 2007</c:v>
                </c:pt>
                <c:pt idx="1">
                  <c:v>Sp 2008</c:v>
                </c:pt>
                <c:pt idx="2">
                  <c:v>Sp 2010</c:v>
                </c:pt>
                <c:pt idx="3">
                  <c:v>Sp 2011</c:v>
                </c:pt>
                <c:pt idx="4">
                  <c:v>Sp 2012</c:v>
                </c:pt>
                <c:pt idx="5">
                  <c:v>F 2014</c:v>
                </c:pt>
                <c:pt idx="6">
                  <c:v>S 2017</c:v>
                </c:pt>
              </c:strCache>
            </c:strRef>
          </c:cat>
          <c:val>
            <c:numRef>
              <c:f>Sheet1!$E$5:$K$5</c:f>
              <c:numCache>
                <c:formatCode>0%</c:formatCode>
                <c:ptCount val="7"/>
                <c:pt idx="0">
                  <c:v>0.8</c:v>
                </c:pt>
                <c:pt idx="1">
                  <c:v>0.45</c:v>
                </c:pt>
                <c:pt idx="2">
                  <c:v>0.7</c:v>
                </c:pt>
                <c:pt idx="3">
                  <c:v>0.6</c:v>
                </c:pt>
                <c:pt idx="4">
                  <c:v>0.37</c:v>
                </c:pt>
                <c:pt idx="5">
                  <c:v>0.78</c:v>
                </c:pt>
                <c:pt idx="6">
                  <c:v>0.51</c:v>
                </c:pt>
              </c:numCache>
            </c:numRef>
          </c:val>
          <c:smooth val="0"/>
        </c:ser>
        <c:ser>
          <c:idx val="2"/>
          <c:order val="2"/>
          <c:tx>
            <c:strRef>
              <c:f>Sheet1!$D$6</c:f>
              <c:strCache>
                <c:ptCount val="1"/>
                <c:pt idx="0">
                  <c:v>Finance</c:v>
                </c:pt>
              </c:strCache>
            </c:strRef>
          </c:tx>
          <c:marker>
            <c:symbol val="none"/>
          </c:marker>
          <c:cat>
            <c:strRef>
              <c:f>Sheet1!$E$3:$K$3</c:f>
              <c:strCache>
                <c:ptCount val="7"/>
                <c:pt idx="0">
                  <c:v>Sp 2007</c:v>
                </c:pt>
                <c:pt idx="1">
                  <c:v>Sp 2008</c:v>
                </c:pt>
                <c:pt idx="2">
                  <c:v>Sp 2010</c:v>
                </c:pt>
                <c:pt idx="3">
                  <c:v>Sp 2011</c:v>
                </c:pt>
                <c:pt idx="4">
                  <c:v>Sp 2012</c:v>
                </c:pt>
                <c:pt idx="5">
                  <c:v>F 2014</c:v>
                </c:pt>
                <c:pt idx="6">
                  <c:v>S 2017</c:v>
                </c:pt>
              </c:strCache>
            </c:strRef>
          </c:cat>
          <c:val>
            <c:numRef>
              <c:f>Sheet1!$E$6:$K$6</c:f>
              <c:numCache>
                <c:formatCode>0%</c:formatCode>
                <c:ptCount val="7"/>
                <c:pt idx="0">
                  <c:v>0.95</c:v>
                </c:pt>
                <c:pt idx="1">
                  <c:v>0.7</c:v>
                </c:pt>
                <c:pt idx="2">
                  <c:v>0.6</c:v>
                </c:pt>
                <c:pt idx="3">
                  <c:v>0.7</c:v>
                </c:pt>
                <c:pt idx="4">
                  <c:v>0.44</c:v>
                </c:pt>
                <c:pt idx="5">
                  <c:v>0.97</c:v>
                </c:pt>
                <c:pt idx="6">
                  <c:v>0.86</c:v>
                </c:pt>
              </c:numCache>
            </c:numRef>
          </c:val>
          <c:smooth val="0"/>
        </c:ser>
        <c:ser>
          <c:idx val="3"/>
          <c:order val="3"/>
          <c:tx>
            <c:strRef>
              <c:f>Sheet1!$D$7</c:f>
              <c:strCache>
                <c:ptCount val="1"/>
                <c:pt idx="0">
                  <c:v>Marketing</c:v>
                </c:pt>
              </c:strCache>
            </c:strRef>
          </c:tx>
          <c:marker>
            <c:symbol val="none"/>
          </c:marker>
          <c:cat>
            <c:strRef>
              <c:f>Sheet1!$E$3:$K$3</c:f>
              <c:strCache>
                <c:ptCount val="7"/>
                <c:pt idx="0">
                  <c:v>Sp 2007</c:v>
                </c:pt>
                <c:pt idx="1">
                  <c:v>Sp 2008</c:v>
                </c:pt>
                <c:pt idx="2">
                  <c:v>Sp 2010</c:v>
                </c:pt>
                <c:pt idx="3">
                  <c:v>Sp 2011</c:v>
                </c:pt>
                <c:pt idx="4">
                  <c:v>Sp 2012</c:v>
                </c:pt>
                <c:pt idx="5">
                  <c:v>F 2014</c:v>
                </c:pt>
                <c:pt idx="6">
                  <c:v>S 2017</c:v>
                </c:pt>
              </c:strCache>
            </c:strRef>
          </c:cat>
          <c:val>
            <c:numRef>
              <c:f>Sheet1!$E$7:$K$7</c:f>
              <c:numCache>
                <c:formatCode>0%</c:formatCode>
                <c:ptCount val="7"/>
                <c:pt idx="0">
                  <c:v>0.85</c:v>
                </c:pt>
                <c:pt idx="1">
                  <c:v>0.6</c:v>
                </c:pt>
                <c:pt idx="2">
                  <c:v>0.95</c:v>
                </c:pt>
                <c:pt idx="3">
                  <c:v>0.7</c:v>
                </c:pt>
                <c:pt idx="4">
                  <c:v>0.85</c:v>
                </c:pt>
                <c:pt idx="5">
                  <c:v>0.93</c:v>
                </c:pt>
                <c:pt idx="6">
                  <c:v>0.73</c:v>
                </c:pt>
              </c:numCache>
            </c:numRef>
          </c:val>
          <c:smooth val="0"/>
        </c:ser>
        <c:ser>
          <c:idx val="4"/>
          <c:order val="4"/>
          <c:tx>
            <c:strRef>
              <c:f>Sheet1!$D$8</c:f>
              <c:strCache>
                <c:ptCount val="1"/>
                <c:pt idx="0">
                  <c:v>Strategic Integration</c:v>
                </c:pt>
              </c:strCache>
            </c:strRef>
          </c:tx>
          <c:marker>
            <c:symbol val="none"/>
          </c:marker>
          <c:cat>
            <c:strRef>
              <c:f>Sheet1!$E$3:$K$3</c:f>
              <c:strCache>
                <c:ptCount val="7"/>
                <c:pt idx="0">
                  <c:v>Sp 2007</c:v>
                </c:pt>
                <c:pt idx="1">
                  <c:v>Sp 2008</c:v>
                </c:pt>
                <c:pt idx="2">
                  <c:v>Sp 2010</c:v>
                </c:pt>
                <c:pt idx="3">
                  <c:v>Sp 2011</c:v>
                </c:pt>
                <c:pt idx="4">
                  <c:v>Sp 2012</c:v>
                </c:pt>
                <c:pt idx="5">
                  <c:v>F 2014</c:v>
                </c:pt>
                <c:pt idx="6">
                  <c:v>S 2017</c:v>
                </c:pt>
              </c:strCache>
            </c:strRef>
          </c:cat>
          <c:val>
            <c:numRef>
              <c:f>Sheet1!$E$8:$K$8</c:f>
              <c:numCache>
                <c:formatCode>0%</c:formatCode>
                <c:ptCount val="7"/>
                <c:pt idx="0">
                  <c:v>0.9</c:v>
                </c:pt>
                <c:pt idx="1">
                  <c:v>0.77</c:v>
                </c:pt>
                <c:pt idx="2">
                  <c:v>0.8</c:v>
                </c:pt>
                <c:pt idx="3">
                  <c:v>0.7</c:v>
                </c:pt>
                <c:pt idx="4">
                  <c:v>0.66</c:v>
                </c:pt>
                <c:pt idx="5">
                  <c:v>0.89</c:v>
                </c:pt>
                <c:pt idx="6">
                  <c:v>0.74</c:v>
                </c:pt>
              </c:numCache>
            </c:numRef>
          </c:val>
          <c:smooth val="0"/>
        </c:ser>
        <c:dLbls>
          <c:showLegendKey val="0"/>
          <c:showVal val="0"/>
          <c:showCatName val="0"/>
          <c:showSerName val="0"/>
          <c:showPercent val="0"/>
          <c:showBubbleSize val="0"/>
        </c:dLbls>
        <c:smooth val="0"/>
        <c:axId val="119455104"/>
        <c:axId val="119463680"/>
      </c:lineChart>
      <c:catAx>
        <c:axId val="119455104"/>
        <c:scaling>
          <c:orientation val="minMax"/>
        </c:scaling>
        <c:delete val="0"/>
        <c:axPos val="b"/>
        <c:numFmt formatCode="General" sourceLinked="0"/>
        <c:majorTickMark val="out"/>
        <c:minorTickMark val="none"/>
        <c:tickLblPos val="low"/>
        <c:crossAx val="119463680"/>
        <c:crosses val="autoZero"/>
        <c:auto val="1"/>
        <c:lblAlgn val="ctr"/>
        <c:lblOffset val="100"/>
        <c:noMultiLvlLbl val="0"/>
      </c:catAx>
      <c:valAx>
        <c:axId val="119463680"/>
        <c:scaling>
          <c:orientation val="minMax"/>
          <c:max val="1"/>
        </c:scaling>
        <c:delete val="0"/>
        <c:axPos val="l"/>
        <c:majorGridlines/>
        <c:title>
          <c:tx>
            <c:rich>
              <a:bodyPr rot="-5400000" vert="horz"/>
              <a:lstStyle/>
              <a:p>
                <a:pPr>
                  <a:defRPr/>
                </a:pPr>
                <a:r>
                  <a:rPr lang="en-US"/>
                  <a:t>Percent Below</a:t>
                </a:r>
                <a:r>
                  <a:rPr lang="en-US" baseline="0"/>
                  <a:t> PLNU</a:t>
                </a:r>
                <a:endParaRPr lang="en-US"/>
              </a:p>
            </c:rich>
          </c:tx>
          <c:layout/>
          <c:overlay val="0"/>
        </c:title>
        <c:numFmt formatCode="0%" sourceLinked="1"/>
        <c:majorTickMark val="out"/>
        <c:minorTickMark val="none"/>
        <c:tickLblPos val="nextTo"/>
        <c:crossAx val="119455104"/>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Noiki Oluwatosin</dc:creator>
  <cp:lastModifiedBy>Julie Huntley</cp:lastModifiedBy>
  <cp:revision>3</cp:revision>
  <cp:lastPrinted>2015-09-18T19:48:00Z</cp:lastPrinted>
  <dcterms:created xsi:type="dcterms:W3CDTF">2017-06-21T17:42:00Z</dcterms:created>
  <dcterms:modified xsi:type="dcterms:W3CDTF">2017-07-09T03:40:00Z</dcterms:modified>
</cp:coreProperties>
</file>